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57" w:rsidRDefault="00EF1657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Watete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EF1657" w:rsidRDefault="00EF1657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EF1657" w:rsidRDefault="00EF1657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November 2000</w:t>
      </w:r>
    </w:p>
    <w:p w:rsidR="00EF1657" w:rsidRDefault="00EF1657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10/00</w:t>
      </w:r>
    </w:p>
    <w:p w:rsidR="00EF1657" w:rsidRDefault="00EF1657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EF1657" w:rsidRDefault="00EF1657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EF1657" w:rsidRDefault="00EF1657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1] Criminal law – Accomplice – Meeting resolving killing of witches and wizards – Witness and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Appellants present at meeting – Witness disapproving of resolution – Appellants killing deceased –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Witness testifying at trial – Whether witness an accomplice to murder.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law – Alibi – Appellants implying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alibi in charge and caution statements –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Statements produced 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exhibits during trial – Whether statements constituting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alibi</w:t>
      </w:r>
      <w:r w:rsidR="009C662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 the absence of a direct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alibi.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law – Witness – Witness and Appellants present at meeting – Resolution passed to kill</w:t>
      </w:r>
      <w:r w:rsidR="009C662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witches and wizards – Witness a government security officer – Appellants charged with murder of</w:t>
      </w:r>
      <w:r w:rsidR="009C662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alleged wizard – Witness testifying against Appellants – Whether witness had purpose of his own to</w:t>
      </w:r>
      <w:r w:rsidR="009C662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serve.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Evidence – Evidence of witness with own purpose to serve – Whether evidence liable to</w:t>
      </w:r>
      <w:r w:rsidR="009C662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corroboration as a rule of law.</w:t>
      </w:r>
    </w:p>
    <w:p w:rsidR="00EF1657" w:rsidRDefault="009C662F" w:rsidP="009C6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TSEKOOKO, KAROKORA,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AND KIKONYOGO JJSC: </w:t>
      </w:r>
      <w:r>
        <w:rPr>
          <w:rFonts w:ascii="Times New Roman" w:hAnsi="Times New Roman" w:cs="Times New Roman"/>
          <w:color w:val="000000"/>
        </w:rPr>
        <w:t>This is a second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in which four Appellants ask this Court to quash their convictions for murder, and to set aside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sentence of death passed on each of them. The four, </w:t>
      </w:r>
      <w:proofErr w:type="spellStart"/>
      <w:r>
        <w:rPr>
          <w:rFonts w:ascii="Times New Roman" w:hAnsi="Times New Roman" w:cs="Times New Roman"/>
          <w:color w:val="000000"/>
        </w:rPr>
        <w:t>Mushikoma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alias </w:t>
      </w:r>
      <w:r>
        <w:rPr>
          <w:rFonts w:ascii="Times New Roman" w:hAnsi="Times New Roman" w:cs="Times New Roman"/>
          <w:color w:val="000000"/>
        </w:rPr>
        <w:t xml:space="preserve">Peter </w:t>
      </w:r>
      <w:proofErr w:type="spellStart"/>
      <w:r>
        <w:rPr>
          <w:rFonts w:ascii="Times New Roman" w:hAnsi="Times New Roman" w:cs="Times New Roman"/>
          <w:color w:val="000000"/>
        </w:rPr>
        <w:t>Wakhokha</w:t>
      </w:r>
      <w:proofErr w:type="spellEnd"/>
      <w:r>
        <w:rPr>
          <w:rFonts w:ascii="Times New Roman" w:hAnsi="Times New Roman" w:cs="Times New Roman"/>
          <w:color w:val="000000"/>
        </w:rPr>
        <w:t>, Fred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Mukhawana</w:t>
      </w:r>
      <w:proofErr w:type="spellEnd"/>
      <w:r>
        <w:rPr>
          <w:rFonts w:ascii="Times New Roman" w:hAnsi="Times New Roman" w:cs="Times New Roman"/>
          <w:color w:val="000000"/>
        </w:rPr>
        <w:t xml:space="preserve">, Lawrence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 xml:space="preserve"> and Francis </w:t>
      </w:r>
      <w:proofErr w:type="spellStart"/>
      <w:r>
        <w:rPr>
          <w:rFonts w:ascii="Times New Roman" w:hAnsi="Times New Roman" w:cs="Times New Roman"/>
          <w:color w:val="000000"/>
        </w:rPr>
        <w:t>Tomasi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Mukhwana</w:t>
      </w:r>
      <w:proofErr w:type="spellEnd"/>
      <w:r>
        <w:rPr>
          <w:rFonts w:ascii="Times New Roman" w:hAnsi="Times New Roman" w:cs="Times New Roman"/>
          <w:color w:val="000000"/>
        </w:rPr>
        <w:t>, were jointly indicted and tried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murder of Christine </w:t>
      </w:r>
      <w:proofErr w:type="spellStart"/>
      <w:r>
        <w:rPr>
          <w:rFonts w:ascii="Times New Roman" w:hAnsi="Times New Roman" w:cs="Times New Roman"/>
          <w:color w:val="000000"/>
        </w:rPr>
        <w:t>Kibone</w:t>
      </w:r>
      <w:proofErr w:type="spellEnd"/>
      <w:r>
        <w:rPr>
          <w:rFonts w:ascii="Times New Roman" w:hAnsi="Times New Roman" w:cs="Times New Roman"/>
          <w:color w:val="000000"/>
        </w:rPr>
        <w:t xml:space="preserve">. On 6 November 1998, the High Court of Uganda, sitting at </w:t>
      </w:r>
      <w:proofErr w:type="spellStart"/>
      <w:r>
        <w:rPr>
          <w:rFonts w:ascii="Times New Roman" w:hAnsi="Times New Roman" w:cs="Times New Roman"/>
          <w:color w:val="000000"/>
        </w:rPr>
        <w:t>Mbale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them guilty as indicted and sentenced each one of them to suffer death. Their appeal to the Court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was dismissed on 9 November 1999, hence this appeal. To avoid a repetition of a mix-up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 in the record of appeal due to referring to the Appellants by numbers, we shall herein refer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by names as “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>”, “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>” and “Francis”, respectively.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facts of the case, as found by the trial court, may 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6 December 1995, in the afternoon, the deceased, a tailor, was at her place of work at </w:t>
      </w:r>
      <w:proofErr w:type="spellStart"/>
      <w:r>
        <w:rPr>
          <w:rFonts w:ascii="Times New Roman" w:hAnsi="Times New Roman" w:cs="Times New Roman"/>
          <w:color w:val="000000"/>
        </w:rPr>
        <w:t>Kikholo</w:t>
      </w:r>
      <w:proofErr w:type="spellEnd"/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trading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, with her daughter, </w:t>
      </w:r>
      <w:proofErr w:type="spellStart"/>
      <w:r>
        <w:rPr>
          <w:rFonts w:ascii="Times New Roman" w:hAnsi="Times New Roman" w:cs="Times New Roman"/>
          <w:color w:val="000000"/>
        </w:rPr>
        <w:t>Felista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Nasike</w:t>
      </w:r>
      <w:proofErr w:type="spellEnd"/>
      <w:r>
        <w:rPr>
          <w:rFonts w:ascii="Times New Roman" w:hAnsi="Times New Roman" w:cs="Times New Roman"/>
          <w:color w:val="000000"/>
        </w:rPr>
        <w:t>, who worked with her. Suddenly a mob of people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surrounded her and when, out of fright, the deceased tried to escape, she was grabbed by the attackers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was taken away being assaulted with sticks, clubs, </w:t>
      </w:r>
      <w:proofErr w:type="spellStart"/>
      <w:r>
        <w:rPr>
          <w:rFonts w:ascii="Times New Roman" w:hAnsi="Times New Roman" w:cs="Times New Roman"/>
          <w:color w:val="000000"/>
        </w:rPr>
        <w:t>pangas</w:t>
      </w:r>
      <w:proofErr w:type="spellEnd"/>
      <w:r>
        <w:rPr>
          <w:rFonts w:ascii="Times New Roman" w:hAnsi="Times New Roman" w:cs="Times New Roman"/>
          <w:color w:val="000000"/>
        </w:rPr>
        <w:t xml:space="preserve"> and stones. She was taken to </w:t>
      </w:r>
      <w:proofErr w:type="spellStart"/>
      <w:r>
        <w:rPr>
          <w:rFonts w:ascii="Times New Roman" w:hAnsi="Times New Roman" w:cs="Times New Roman"/>
          <w:color w:val="000000"/>
        </w:rPr>
        <w:t>Bushika</w:t>
      </w:r>
      <w:proofErr w:type="spellEnd"/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sub-county headquarters first, but was finally taken to, and dumped at, </w:t>
      </w:r>
      <w:proofErr w:type="spellStart"/>
      <w:r>
        <w:rPr>
          <w:rFonts w:ascii="Times New Roman" w:hAnsi="Times New Roman" w:cs="Times New Roman"/>
          <w:color w:val="000000"/>
        </w:rPr>
        <w:t>Bududa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station, where she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died shortly thereafter. Part of the way, she was made to run with the mob which, while continuing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assault on her, was chanting words that indicated she was going to be killed. Towards the end,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collapsed and was dragged on the road up to where she was finally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dumped. The whole episode lasted from about 4 pm to about 8 pm. A medical examination was carried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on the deceased’s body the following day, and the cause of death was found to be internal brain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haemorrhage</w:t>
      </w:r>
      <w:proofErr w:type="spellEnd"/>
      <w:r>
        <w:rPr>
          <w:rFonts w:ascii="Times New Roman" w:hAnsi="Times New Roman" w:cs="Times New Roman"/>
          <w:color w:val="000000"/>
        </w:rPr>
        <w:t>. The case against the four Appellants was that they were part of the mob, and that they had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actively participated in the assault on the deceased, which assault led to her death.</w:t>
      </w:r>
      <w:r w:rsidR="009C662F">
        <w:rPr>
          <w:rFonts w:ascii="Times New Roman" w:hAnsi="Times New Roman" w:cs="Times New Roman"/>
          <w:color w:val="000000"/>
        </w:rPr>
        <w:t xml:space="preserve"> 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case rested on the evidence of two eye witnesses, namely: </w:t>
      </w:r>
      <w:proofErr w:type="spellStart"/>
      <w:r>
        <w:rPr>
          <w:rFonts w:ascii="Times New Roman" w:hAnsi="Times New Roman" w:cs="Times New Roman"/>
          <w:color w:val="000000"/>
        </w:rPr>
        <w:t>Felista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Nasike</w:t>
      </w:r>
      <w:proofErr w:type="spellEnd"/>
      <w:r>
        <w:rPr>
          <w:rFonts w:ascii="Times New Roman" w:hAnsi="Times New Roman" w:cs="Times New Roman"/>
          <w:color w:val="000000"/>
        </w:rPr>
        <w:t xml:space="preserve"> who gave evidence as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PW3, and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, who gave evidence as PW2. </w:t>
      </w:r>
      <w:proofErr w:type="spellStart"/>
      <w:r>
        <w:rPr>
          <w:rFonts w:ascii="Times New Roman" w:hAnsi="Times New Roman" w:cs="Times New Roman"/>
          <w:color w:val="000000"/>
        </w:rPr>
        <w:t>Felista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Nasike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that she was working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her mother when the mob pounced on the mother and took her away assaulting her. She followed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mob and witnessed what was done to the deceased up to </w:t>
      </w:r>
      <w:proofErr w:type="spellStart"/>
      <w:r>
        <w:rPr>
          <w:rFonts w:ascii="Times New Roman" w:hAnsi="Times New Roman" w:cs="Times New Roman"/>
          <w:color w:val="000000"/>
        </w:rPr>
        <w:t>Bududa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station, where the deceased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dumped and died.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, a parish chief of </w:t>
      </w:r>
      <w:proofErr w:type="spellStart"/>
      <w:r>
        <w:rPr>
          <w:rFonts w:ascii="Times New Roman" w:hAnsi="Times New Roman" w:cs="Times New Roman"/>
          <w:color w:val="000000"/>
        </w:rPr>
        <w:t>Bumusisho</w:t>
      </w:r>
      <w:proofErr w:type="spellEnd"/>
      <w:r>
        <w:rPr>
          <w:rFonts w:ascii="Times New Roman" w:hAnsi="Times New Roman" w:cs="Times New Roman"/>
          <w:color w:val="000000"/>
        </w:rPr>
        <w:t xml:space="preserve"> parish testified that on the fateful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day at about 5 pm, he was at </w:t>
      </w:r>
      <w:proofErr w:type="spellStart"/>
      <w:r>
        <w:rPr>
          <w:rFonts w:ascii="Times New Roman" w:hAnsi="Times New Roman" w:cs="Times New Roman"/>
          <w:color w:val="000000"/>
        </w:rPr>
        <w:t>Bushika</w:t>
      </w:r>
      <w:proofErr w:type="spellEnd"/>
      <w:r>
        <w:rPr>
          <w:rFonts w:ascii="Times New Roman" w:hAnsi="Times New Roman" w:cs="Times New Roman"/>
          <w:color w:val="000000"/>
        </w:rPr>
        <w:t xml:space="preserve"> sub-county headquarters when the deceased was brought there by a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mob, which he estimated to be about 50 people. She was being assaulted, allegedly because her brother,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Nambaale</w:t>
      </w:r>
      <w:proofErr w:type="spellEnd"/>
      <w:r>
        <w:rPr>
          <w:rFonts w:ascii="Times New Roman" w:hAnsi="Times New Roman" w:cs="Times New Roman"/>
          <w:color w:val="000000"/>
        </w:rPr>
        <w:t>, had kept his instruments of witchcraft with her. He told the mob not to assault her, and not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punish her for </w:t>
      </w:r>
      <w:proofErr w:type="spellStart"/>
      <w:r>
        <w:rPr>
          <w:rFonts w:ascii="Times New Roman" w:hAnsi="Times New Roman" w:cs="Times New Roman"/>
          <w:color w:val="000000"/>
        </w:rPr>
        <w:t>Nambaale’s</w:t>
      </w:r>
      <w:proofErr w:type="spellEnd"/>
      <w:r>
        <w:rPr>
          <w:rFonts w:ascii="Times New Roman" w:hAnsi="Times New Roman" w:cs="Times New Roman"/>
          <w:color w:val="000000"/>
        </w:rPr>
        <w:t xml:space="preserve"> wrong, but to take her to police, and to bring </w:t>
      </w:r>
      <w:proofErr w:type="spellStart"/>
      <w:r>
        <w:rPr>
          <w:rFonts w:ascii="Times New Roman" w:hAnsi="Times New Roman" w:cs="Times New Roman"/>
          <w:color w:val="000000"/>
        </w:rPr>
        <w:t>Nambaale</w:t>
      </w:r>
      <w:proofErr w:type="spellEnd"/>
      <w:r>
        <w:rPr>
          <w:rFonts w:ascii="Times New Roman" w:hAnsi="Times New Roman" w:cs="Times New Roman"/>
          <w:color w:val="000000"/>
        </w:rPr>
        <w:t xml:space="preserve"> instead. The mob did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heed his advice. They continued to assault the deceased and took her away.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Both witnesses testified that they had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four Appellants among the mob, as well as other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who were not charged, some of whom had apparently fled from the area after the incident. Each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two witnesses described what role each of the Appellants played in the assault on the deceased. 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addition,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that on an unspecified date, prior to the incident, the elders of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Bumusisho</w:t>
      </w:r>
      <w:proofErr w:type="spellEnd"/>
      <w:r>
        <w:rPr>
          <w:rFonts w:ascii="Times New Roman" w:hAnsi="Times New Roman" w:cs="Times New Roman"/>
          <w:color w:val="000000"/>
        </w:rPr>
        <w:t xml:space="preserve"> parish had convened a meeting at which it was resolved that persons practicing witchcraft,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were listed, should be dealt with. He attended the meeting and, according to him, so did the four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three grounds of appeal to this Court. The first ground is: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Learned Justices of Appeal erred in mixed law and fact on the issue of alibi in respect of the first,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 and Third Appellants”.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complaint is directed at the statement in the judgment of the Court of Appeal, where the Learned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Justice of Appeal, said this of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“… They did not set up an alibi as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Learned Counsel for the appellants was therefore wrong in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criticising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Judge for not considering the alibi set up by the first, Second and Third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It was the fourth appellant who put up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alibi 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had implied the same thing when he said in his judgment: “The accused all made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unsworn statements in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made an outright denial, but A4 also pleaded an alibi”.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color w:val="000000"/>
        </w:rPr>
        <w:t>, counsel for the Appellants, submitted to us, that each of the first three Appellants had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set up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alibi. He contended that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 xml:space="preserve"> set up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his unsworn statement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at the trial, and that </w:t>
      </w: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 xml:space="preserve"> set up theirs in their statements to the police.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contending that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 xml:space="preserve"> had set up an alibi at the trial, counsel erroneously ascribed to him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statement appearing at page 46 of the record of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that is, “I denied the allegation with reasons that most of the time I don’t stay in the village, but I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reside in </w:t>
      </w:r>
      <w:proofErr w:type="spellStart"/>
      <w:r>
        <w:rPr>
          <w:rFonts w:ascii="Times New Roman" w:hAnsi="Times New Roman" w:cs="Times New Roman"/>
          <w:color w:val="000000"/>
        </w:rPr>
        <w:t>Mbale</w:t>
      </w:r>
      <w:proofErr w:type="spellEnd"/>
      <w:r>
        <w:rPr>
          <w:rFonts w:ascii="Times New Roman" w:hAnsi="Times New Roman" w:cs="Times New Roman"/>
          <w:color w:val="000000"/>
        </w:rPr>
        <w:t>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trial Judge’s notes, however, that sentence is part of the unsworn statement of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Watete’s</w:t>
      </w:r>
      <w:proofErr w:type="spellEnd"/>
      <w:r>
        <w:rPr>
          <w:rFonts w:ascii="Times New Roman" w:hAnsi="Times New Roman" w:cs="Times New Roman"/>
          <w:color w:val="000000"/>
        </w:rPr>
        <w:t xml:space="preserve"> unsworn statement is a narrative about his arrest on 17 February 1996 allegedly on a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 of threatening one Sam </w:t>
      </w:r>
      <w:proofErr w:type="spellStart"/>
      <w:r>
        <w:rPr>
          <w:rFonts w:ascii="Times New Roman" w:hAnsi="Times New Roman" w:cs="Times New Roman"/>
          <w:color w:val="000000"/>
        </w:rPr>
        <w:t>Nambaale</w:t>
      </w:r>
      <w:proofErr w:type="spellEnd"/>
      <w:r>
        <w:rPr>
          <w:rFonts w:ascii="Times New Roman" w:hAnsi="Times New Roman" w:cs="Times New Roman"/>
          <w:color w:val="000000"/>
        </w:rPr>
        <w:t>, about his appearances in court until 1997 when he was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 of other charges for an offence committed in 1995, and about his committal to the High Court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trial. He did not say anything on or about where he was on 6 December 1995 when the deceased was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killed. For </w:t>
      </w: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the proposition that each had set up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alibi in the statement made to the police under charge and caution, on the premise that the statements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produced in evidence, as exhibit D3 and exhibit D4 respectively, and thereby became part of the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defence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evidence. He submitted that each of the statements put forward an alibi, which the courts below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erroneously ignored.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Khisa</w:t>
      </w:r>
      <w:proofErr w:type="spellEnd"/>
      <w:r>
        <w:rPr>
          <w:rFonts w:ascii="Times New Roman" w:hAnsi="Times New Roman" w:cs="Times New Roman"/>
          <w:color w:val="000000"/>
        </w:rPr>
        <w:t>, Principal State Attorney, supported the view held by both courts below, that the three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Appellants did not set up alibi in their respective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. She submitted that in any case, failure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the alleged alibi did not occasion any miscarriage of justice in view of the quality of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evidence which was believed and relied upon.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 is set up when an accused person, wishing to show that he could not have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the offence charged, asserts that at the time the offence was committed he was in a different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from the scene of the crime. The law is well settled, that an accused person who puts forward an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alibi as an answer to the charge against him, does not assume any burden of proving that answer.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burden remains on the prosecution to prove that the accused was at the scene of crime and not at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place where he claims to have been. This emanates from the general principle propounded in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well-known decision of the House of Lords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Woolmington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Director of Public Prosecutions </w:t>
      </w:r>
      <w:r>
        <w:rPr>
          <w:rFonts w:ascii="Times New Roman" w:hAnsi="Times New Roman" w:cs="Times New Roman"/>
          <w:color w:val="000000"/>
        </w:rPr>
        <w:t>[1935]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 462 to the effect that, with the exception of the defense of insanity, and some other statutory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are not relevant here, no burden ever rests on an accused person to establish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That is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true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 also. An accused person does not have any burden to prove his alibi. Needless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say, however, that for the prosecution to negative it, and more so, for the court to consider it as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alibi has to be put forward as the answer to the charge.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In the instant case, the position of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 xml:space="preserve"> is very clear. We have already indicated that, at the trial, 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put forward any alibi as an answer to the charge against himself. And unlike the other Appellants,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never made any statement to the police. </w:t>
      </w: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 also did not directly put forward any alibi in his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unsworn statement at the trial. He gave a narrative, similar to that of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>, about his arrest on 12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October 1996 on allegations that he had threatened to kill Sam </w:t>
      </w:r>
      <w:proofErr w:type="spellStart"/>
      <w:r>
        <w:rPr>
          <w:rFonts w:ascii="Times New Roman" w:hAnsi="Times New Roman" w:cs="Times New Roman"/>
          <w:color w:val="000000"/>
        </w:rPr>
        <w:t>Nambaale</w:t>
      </w:r>
      <w:proofErr w:type="spellEnd"/>
      <w:r>
        <w:rPr>
          <w:rFonts w:ascii="Times New Roman" w:hAnsi="Times New Roman" w:cs="Times New Roman"/>
          <w:color w:val="000000"/>
        </w:rPr>
        <w:t>; about his appearances in court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release on bail; about his re-arrest on 14 February 1999 on the wrong accusation that he had jumped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bail; and about his committal in May 1997. During that narrative, however, he said that in a statement 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to the police he denied the allegations against him. In the statement, produced as exhibit D3, what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told the police, so far as is relevant, was “on that day I never went out of my village”.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did not, however, repeat that when, after the prosecution closed its case, he was called upon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answer the charge against him. Similarly,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 xml:space="preserve"> was more specific in the charge and caution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to the police, exhibit D4. He there </w:t>
      </w:r>
      <w:proofErr w:type="spellStart"/>
      <w:r>
        <w:rPr>
          <w:rFonts w:ascii="Times New Roman" w:hAnsi="Times New Roman" w:cs="Times New Roman"/>
          <w:color w:val="000000"/>
        </w:rPr>
        <w:t>said</w:t>
      </w:r>
      <w:proofErr w:type="gramStart"/>
      <w:r>
        <w:rPr>
          <w:rFonts w:ascii="Times New Roman" w:hAnsi="Times New Roman" w:cs="Times New Roman"/>
          <w:color w:val="000000"/>
        </w:rPr>
        <w:t>,“</w:t>
      </w:r>
      <w:proofErr w:type="gramEnd"/>
      <w:r>
        <w:rPr>
          <w:rFonts w:ascii="Times New Roman" w:hAnsi="Times New Roman" w:cs="Times New Roman"/>
          <w:color w:val="000000"/>
        </w:rPr>
        <w:t>on</w:t>
      </w:r>
      <w:proofErr w:type="spellEnd"/>
      <w:r>
        <w:rPr>
          <w:rFonts w:ascii="Times New Roman" w:hAnsi="Times New Roman" w:cs="Times New Roman"/>
          <w:color w:val="000000"/>
        </w:rPr>
        <w:t xml:space="preserve"> that day I was not even in the village but I was in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Mbale</w:t>
      </w:r>
      <w:proofErr w:type="spellEnd"/>
      <w:r>
        <w:rPr>
          <w:rFonts w:ascii="Times New Roman" w:hAnsi="Times New Roman" w:cs="Times New Roman"/>
          <w:color w:val="000000"/>
        </w:rPr>
        <w:t xml:space="preserve"> Town”.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 too did not repeat that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at the trial but, as we noted earlier in this judgment, he said 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terms, that at the police he had denied the allegations against him because “most of the time” 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not stay in the village but resided in </w:t>
      </w:r>
      <w:proofErr w:type="spellStart"/>
      <w:r>
        <w:rPr>
          <w:rFonts w:ascii="Times New Roman" w:hAnsi="Times New Roman" w:cs="Times New Roman"/>
          <w:color w:val="000000"/>
        </w:rPr>
        <w:t>Mbale</w:t>
      </w:r>
      <w:proofErr w:type="spellEnd"/>
      <w:r>
        <w:rPr>
          <w:rFonts w:ascii="Times New Roman" w:hAnsi="Times New Roman" w:cs="Times New Roman"/>
          <w:color w:val="000000"/>
        </w:rPr>
        <w:t>. We agree that if what each of the two Appellants said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 was repeated to the trial court it would have amounted to putting forward an alibi in answer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 against him. We also agree that there was reasonable similarity between what each one said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court and what he had said to the police. We, however, do not accept the inference implicit in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Nsibambi’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C662F">
        <w:rPr>
          <w:rFonts w:ascii="Times New Roman" w:hAnsi="Times New Roman" w:cs="Times New Roman"/>
          <w:color w:val="000000"/>
        </w:rPr>
        <w:t>proposition that</w:t>
      </w:r>
      <w:r>
        <w:rPr>
          <w:rFonts w:ascii="Times New Roman" w:hAnsi="Times New Roman" w:cs="Times New Roman"/>
          <w:color w:val="000000"/>
        </w:rPr>
        <w:t xml:space="preserve"> because each Appellant’s charge and caution statement was produced 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the contents thereof automatically became the maker’s answer to the charge he faced at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 Subject to what we shall say later in this judgment on the latitude to be accorded to an accused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person, in the instant case it is pertinent to consider the purpose of tendering the statements, exhibit D3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exhibit D4, in evidence. We think that purpose can be deduced from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counsel’s final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to the trial court. He submitted: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“… PW2 and PW3 testified that the accused persons remained in their village after the death of the deceased.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in itself conduct from which the court may infer that they did not participate in the crime or else they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have run away as the RC III Chairman … In their dock statements the accused repeated what PW2 and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PW3 stated that they remained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Bushika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until their arrest.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– A2 (that is,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Natsheba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was arrested 3 February 97. He has a charge and caution statement dated 6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February 1997 (that is Exhibit D4).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– A3 …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– A4 (that is,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Kakala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was arrested 12 October 1996. He exhibited his charge and caution statement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dated 6.February 1997 (that is Exhibit D3)”.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Clearly the purpose was to show how long it took for the Appellants to be arrested, after the offence was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committed. In our view the statements were not produced in evidence to set up alibi. We are fortified 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view by the fact that, in his final submissions to the trial court,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counsel canvassed the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defence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of alibi for Francis (A5) only, and not for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>, the other Appellants (A2,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and A4).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color w:val="000000"/>
        </w:rPr>
        <w:t>, in his submissions to us, sought to also rely on a concession, made by counsel for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 at the hearing of the first </w:t>
      </w:r>
      <w:r w:rsidR="009C662F">
        <w:rPr>
          <w:rFonts w:ascii="Times New Roman" w:hAnsi="Times New Roman" w:cs="Times New Roman"/>
          <w:color w:val="000000"/>
        </w:rPr>
        <w:t>appeal that</w:t>
      </w:r>
      <w:r>
        <w:rPr>
          <w:rFonts w:ascii="Times New Roman" w:hAnsi="Times New Roman" w:cs="Times New Roman"/>
          <w:color w:val="000000"/>
        </w:rPr>
        <w:t xml:space="preserve"> the trial Judge did not consider the alibis set up by the three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Appellants. We find no substance in this submission, because the concession, such as there was, does not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amplify the content of what the Appellants stated to the trial court in answer to the charge against them,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contents, as we have held, did not set up any alibi.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should observe that generally the court should go a long way to give an accused person,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particularly one on a capital charge, latitude in the presentation and interpretation of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should, where appropriate, consider any relevant material lawfully before it, if it be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However in view of all the foregoing, we are unable to fault the Court of Appeal for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stance it took, that the three Appellants, that is, </w:t>
      </w:r>
      <w:proofErr w:type="spellStart"/>
      <w:r>
        <w:rPr>
          <w:rFonts w:ascii="Times New Roman" w:hAnsi="Times New Roman" w:cs="Times New Roman"/>
          <w:color w:val="000000"/>
        </w:rPr>
        <w:t>Watete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>
        <w:rPr>
          <w:rFonts w:ascii="Times New Roman" w:hAnsi="Times New Roman" w:cs="Times New Roman"/>
          <w:color w:val="000000"/>
        </w:rPr>
        <w:t xml:space="preserve">, did not put up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alibi. What is more, we are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satisfied that in the instant case, having regard to the evidence as a whole, even if </w:t>
      </w:r>
      <w:proofErr w:type="spellStart"/>
      <w:r>
        <w:rPr>
          <w:rFonts w:ascii="Times New Roman" w:hAnsi="Times New Roman" w:cs="Times New Roman"/>
          <w:color w:val="000000"/>
        </w:rPr>
        <w:t>Kakala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Natsheba</w:t>
      </w:r>
      <w:proofErr w:type="spellEnd"/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taken to have put up alibi as their respective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through exhibit D3 and exhibit D4, the same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failed, as did that of Francis. Consequently, the first ground of appeal fails.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chose to argue the Second and </w:t>
      </w:r>
      <w:r w:rsidR="009C662F">
        <w:rPr>
          <w:rFonts w:ascii="Times New Roman" w:hAnsi="Times New Roman" w:cs="Times New Roman"/>
          <w:color w:val="000000"/>
        </w:rPr>
        <w:t>third</w:t>
      </w:r>
      <w:r>
        <w:rPr>
          <w:rFonts w:ascii="Times New Roman" w:hAnsi="Times New Roman" w:cs="Times New Roman"/>
          <w:color w:val="000000"/>
        </w:rPr>
        <w:t xml:space="preserve"> grounds of appeal together. They read: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 The Learned Justices of Appeal erred in mixing law and fact when they did not consider PW2’s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as accomplice evidence and/or evidence of a person with a purpose of his own.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 T he Learned Justices of Appeal erred in law when they failed to properly re-evaluate all the evidence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it thereby upholding the erroneous findings of the trial court”.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question in the second ground was not raised in the Court of Appeal. However, because the question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raised was an issue of law, we allowed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Nsibarnbi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argue the ground before us. Counsel submitted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PW2,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>, was an accomplice witness or, in the alternative, a witness who had a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his own to serve, and that in either case his evidence ought not to have been relied upon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the court warning itself of the need for corroboration. In support of the contention that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was an accomplice, counsel argued that by reason of having attended the meeting at which it was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resolved to round up and kill persons practicing </w:t>
      </w:r>
      <w:r w:rsidR="009C662F">
        <w:rPr>
          <w:rFonts w:ascii="Times New Roman" w:hAnsi="Times New Roman" w:cs="Times New Roman"/>
          <w:color w:val="000000"/>
        </w:rPr>
        <w:t>witchcraft that</w:t>
      </w:r>
      <w:r>
        <w:rPr>
          <w:rFonts w:ascii="Times New Roman" w:hAnsi="Times New Roman" w:cs="Times New Roman"/>
          <w:color w:val="000000"/>
        </w:rPr>
        <w:t xml:space="preserve"> witness was guilty of inciting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incident in which the deceased was killed. In respect of the alternative, counsel pointed to the witness’s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about his attending the said meeting, where he </w:t>
      </w:r>
      <w:proofErr w:type="spellStart"/>
      <w:r>
        <w:rPr>
          <w:rFonts w:ascii="Times New Roman" w:hAnsi="Times New Roman" w:cs="Times New Roman"/>
          <w:color w:val="000000"/>
        </w:rPr>
        <w:t>said</w:t>
      </w:r>
      <w:proofErr w:type="gramStart"/>
      <w:r>
        <w:rPr>
          <w:rFonts w:ascii="Times New Roman" w:hAnsi="Times New Roman" w:cs="Times New Roman"/>
          <w:color w:val="000000"/>
        </w:rPr>
        <w:t>:“</w:t>
      </w:r>
      <w:proofErr w:type="gramEnd"/>
      <w:r>
        <w:rPr>
          <w:rFonts w:ascii="Times New Roman" w:hAnsi="Times New Roman" w:cs="Times New Roman"/>
          <w:color w:val="000000"/>
        </w:rPr>
        <w:t>It</w:t>
      </w:r>
      <w:proofErr w:type="spellEnd"/>
      <w:r>
        <w:rPr>
          <w:rFonts w:ascii="Times New Roman" w:hAnsi="Times New Roman" w:cs="Times New Roman"/>
          <w:color w:val="000000"/>
        </w:rPr>
        <w:t xml:space="preserve"> was my duty to collect information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affecting security and pass it on to any superiors”.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basis of that, counsel invited this Court to conclude that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was a witness who had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purpose of his own to serve, and whose evidence was unreliable in absence of corroboration. Counsel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relied on </w:t>
      </w:r>
      <w:r>
        <w:rPr>
          <w:rFonts w:ascii="Times New Roman" w:hAnsi="Times New Roman" w:cs="Times New Roman"/>
          <w:i/>
          <w:iCs/>
          <w:color w:val="000000"/>
        </w:rPr>
        <w:t xml:space="preserve">R v Becks </w:t>
      </w:r>
      <w:r>
        <w:rPr>
          <w:rFonts w:ascii="Times New Roman" w:hAnsi="Times New Roman" w:cs="Times New Roman"/>
          <w:color w:val="000000"/>
        </w:rPr>
        <w:t xml:space="preserve">[1982] 1 All ER 807 and </w:t>
      </w:r>
      <w:r>
        <w:rPr>
          <w:rFonts w:ascii="Times New Roman" w:hAnsi="Times New Roman" w:cs="Times New Roman"/>
          <w:i/>
          <w:iCs/>
          <w:color w:val="000000"/>
        </w:rPr>
        <w:t xml:space="preserve">R v Prater </w:t>
      </w:r>
      <w:r>
        <w:rPr>
          <w:rFonts w:ascii="Times New Roman" w:hAnsi="Times New Roman" w:cs="Times New Roman"/>
          <w:color w:val="000000"/>
        </w:rPr>
        <w:t>[1960] 1 All ER 298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in support of his alternative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submission. In conclusion, he submitted that if the Court of Appeal had properly re-evaluated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it would have found that PW2’s evidence was unreliable.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PW2 cannot be classified as an accomplice merely on the ground that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attended the meeting convened by the elders. She argued that he did nothing in furtherance of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resolution of the meeting. On the contrary, the only evidence available showed that he did not approve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the meeting. She also submitted that the Court of Appeal had thoroughly evaluated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record.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trite law, that in a criminal trial, it is unsafe to rely on accomplice evidence unless it is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corroborated. However, the trial court may do so, if, after warning itself of the danger, it is satisfied that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is reliable. An appellate court therefore will quash a conviction based on accomplice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evidence, if it is uncorroborated and the trial court failed to warn itself accordingly 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Obeli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</w:t>
      </w:r>
      <w:r w:rsidR="009C662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[1965] EA 622). In the instant case, we have to determine first whether PW2 was an accomplice witness,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if his evidence required corroboration, and/or the courts below ought to have treated it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caution.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criminal trial, a witness is said to be an accomplice if he participated, as a principal or an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accessory, in the commission of the offence which is the subject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trial. The clearest case of an accomplice is where the witness has confessed to the participation 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offence, or has been convicted of the offence either on his own plea of guilty or on the court finding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guilty after trial. However, even in absence of such confession or conviction, a court may find, on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strength of evidence before it at the </w:t>
      </w:r>
      <w:r w:rsidR="009C662F">
        <w:rPr>
          <w:rFonts w:ascii="Times New Roman" w:hAnsi="Times New Roman" w:cs="Times New Roman"/>
          <w:color w:val="000000"/>
        </w:rPr>
        <w:t>trial that</w:t>
      </w:r>
      <w:r>
        <w:rPr>
          <w:rFonts w:ascii="Times New Roman" w:hAnsi="Times New Roman" w:cs="Times New Roman"/>
          <w:color w:val="000000"/>
        </w:rPr>
        <w:t xml:space="preserve"> a witness participated in the offence in one degree or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another. Clearly, evidence that a witness conspired to commit, or (as is contended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case) incited the commission of the offence under trial, would be sufficient evidence of such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participation and would justify the trial court in treating such a witness as an accomplice; and if the trial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fails so to do, the appellate court would quash a conviction based on that witness’s evidence if it be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uncorroborated (see </w:t>
      </w:r>
      <w:r>
        <w:rPr>
          <w:rFonts w:ascii="Times New Roman" w:hAnsi="Times New Roman" w:cs="Times New Roman"/>
          <w:i/>
          <w:iCs/>
          <w:color w:val="000000"/>
        </w:rPr>
        <w:t xml:space="preserve">DR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Khetan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[1957] EA 563).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case, however, we have found no evidence on record that would have justified the trial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court, or the first appellate court, to hold that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participated in the offence in question.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only evidence concerning the meeting from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us deduce such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participation, was given by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himself. He testified that the meeting was convened by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elders of </w:t>
      </w:r>
      <w:proofErr w:type="spellStart"/>
      <w:r>
        <w:rPr>
          <w:rFonts w:ascii="Times New Roman" w:hAnsi="Times New Roman" w:cs="Times New Roman"/>
          <w:color w:val="000000"/>
        </w:rPr>
        <w:t>Bumusisho</w:t>
      </w:r>
      <w:proofErr w:type="spellEnd"/>
      <w:r>
        <w:rPr>
          <w:rFonts w:ascii="Times New Roman" w:hAnsi="Times New Roman" w:cs="Times New Roman"/>
          <w:color w:val="000000"/>
        </w:rPr>
        <w:t xml:space="preserve"> parish, some of whom he named. In examination-in-chief he said that the meeting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that those who practiced witchcraft should be dealt with. He elaborated on this 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cross-examination, when he said that the meeting resolved to select young men to kill witches and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wizards. However, he </w:t>
      </w:r>
      <w:proofErr w:type="spellStart"/>
      <w:r>
        <w:rPr>
          <w:rFonts w:ascii="Times New Roman" w:hAnsi="Times New Roman" w:cs="Times New Roman"/>
          <w:color w:val="000000"/>
        </w:rPr>
        <w:t>added</w:t>
      </w:r>
      <w:proofErr w:type="gramStart"/>
      <w:r>
        <w:rPr>
          <w:rFonts w:ascii="Times New Roman" w:hAnsi="Times New Roman" w:cs="Times New Roman"/>
          <w:color w:val="000000"/>
        </w:rPr>
        <w:t>:“</w:t>
      </w:r>
      <w:proofErr w:type="gramEnd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disapproved of the meeting”.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also testified that though he did not report the meeting to the sub-county chief, he reported it to the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RC III Chairman who, as a result, went from village to village. There is no evidence to contradict,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or by inference, his assertion that he disapproved of the meeting. Nor is there any evidence that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party to, or that he otherwise supported or encouraged, the resolution to kill the witches and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wizards. We agree with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there was no evidence to show that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did anything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furtherance of that resolution. Mere passive attendance of that meeting and/or failure to report to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sub-county chief or police did not render him a participant in the preparations for, let alone in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 of the offence in question: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[1965] EA 501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Accordingly we hold that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evidence that would have justified the trial court or the Court of Appeal to classify PW2 as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accomplice.</w:t>
      </w:r>
    </w:p>
    <w:p w:rsidR="00EF1657" w:rsidRPr="009C662F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now turn to counsel’s alternative submission, that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was “a witness with a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his own to serve”. No previous decision of this Court or its predecessors pronouncing on such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categorisation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a witness was referred to us, nor have we found any. The category, or, more aptly,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description appears to originate from the English decision of the Court of Criminal Appeal in </w:t>
      </w:r>
      <w:r>
        <w:rPr>
          <w:rFonts w:ascii="Times New Roman" w:hAnsi="Times New Roman" w:cs="Times New Roman"/>
          <w:i/>
          <w:iCs/>
          <w:color w:val="000000"/>
        </w:rPr>
        <w:t>R v Prater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[1960] All ER 298, where at 300 the court said: “The court, in the circumstances of the present appeal, is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 to find itself on the view which it expresses that, in cases where a person may be regarded as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some purpose of his own to serve, the warning against uncorroborated evidence should be given”.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witness envisaged in that proposition, is apparently one who is likely not to testify truthfully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of some personal purpose he wishes to serve or effect, as for example to cover up his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wrongdoing. However, the proposition in </w:t>
      </w:r>
      <w:r>
        <w:rPr>
          <w:rFonts w:ascii="Times New Roman" w:hAnsi="Times New Roman" w:cs="Times New Roman"/>
          <w:i/>
          <w:iCs/>
          <w:color w:val="000000"/>
        </w:rPr>
        <w:t xml:space="preserve">R v Prater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was so watered down in subsequent</w:t>
      </w:r>
      <w:r w:rsidR="009C662F">
        <w:rPr>
          <w:rFonts w:ascii="Times New Roman" w:hAnsi="Times New Roman" w:cs="Times New Roman"/>
          <w:color w:val="000000"/>
        </w:rPr>
        <w:t xml:space="preserve"> decisions, which</w:t>
      </w:r>
      <w:r>
        <w:rPr>
          <w:rFonts w:ascii="Times New Roman" w:hAnsi="Times New Roman" w:cs="Times New Roman"/>
          <w:color w:val="000000"/>
        </w:rPr>
        <w:t xml:space="preserve"> it appears to be no longer an authority of substance. Four years after that decision,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of Criminal Appeal, in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Stannard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[1964] 1 All ER 34 at 40, explained the proposition in the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terms: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rule, if it be a rule, enunciated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 v Prater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 is no more than a rule of practice. I say deliberately,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‘if it be a rule’ because, reading the passage of the judgment … it really seems to amount to no more than an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expression of what is desirable and what, it is to be hoped, will more usually than not be adopted, at any rate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where it seems to be appropriate to the Learned Judge. It certainly is a rule of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law 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 much later judgment of the Court of Appeal, criminal division, in </w:t>
      </w:r>
      <w:r>
        <w:rPr>
          <w:rFonts w:ascii="Times New Roman" w:hAnsi="Times New Roman" w:cs="Times New Roman"/>
          <w:i/>
          <w:iCs/>
          <w:color w:val="000000"/>
        </w:rPr>
        <w:t xml:space="preserve">R v Becks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a number of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decisions since </w:t>
      </w:r>
      <w:r>
        <w:rPr>
          <w:rFonts w:ascii="Times New Roman" w:hAnsi="Times New Roman" w:cs="Times New Roman"/>
          <w:i/>
          <w:iCs/>
          <w:color w:val="000000"/>
        </w:rPr>
        <w:t xml:space="preserve">R v Prater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were reviewed, and the court opined that the </w:t>
      </w:r>
      <w:r>
        <w:rPr>
          <w:rFonts w:ascii="Times New Roman" w:hAnsi="Times New Roman" w:cs="Times New Roman"/>
          <w:i/>
          <w:iCs/>
          <w:color w:val="000000"/>
        </w:rPr>
        <w:t xml:space="preserve">Prater </w:t>
      </w:r>
      <w:r>
        <w:rPr>
          <w:rFonts w:ascii="Times New Roman" w:hAnsi="Times New Roman" w:cs="Times New Roman"/>
          <w:color w:val="000000"/>
        </w:rPr>
        <w:t>case did not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 the law regarding accomplice evidence. The conclusion of the court on the issue was as follows: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“While we in no way wish to detract from the obligation on a judge to advise a jury to proceed with caution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there is material to suggest that a witness’s evidence be tainted by an improper motive, and the strength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that advice must vary according to the facts of the case, we cannot accept that there is an obligation to give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accomplice warning with all that entails, when it is common ground that there is no basis for suggesting</w:t>
      </w:r>
      <w:r w:rsidR="009C66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witness is a participant or in any way involved in the crime the subject matter of the trial”.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agree with that conclusion. Whenever the court is evaluating evidence and assessing its credibility,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factors likely to </w:t>
      </w:r>
      <w:proofErr w:type="spellStart"/>
      <w:r>
        <w:rPr>
          <w:rFonts w:ascii="Times New Roman" w:hAnsi="Times New Roman" w:cs="Times New Roman"/>
          <w:color w:val="000000"/>
        </w:rPr>
        <w:t>colour</w:t>
      </w:r>
      <w:proofErr w:type="spellEnd"/>
      <w:r>
        <w:rPr>
          <w:rFonts w:ascii="Times New Roman" w:hAnsi="Times New Roman" w:cs="Times New Roman"/>
          <w:color w:val="000000"/>
        </w:rPr>
        <w:t>, taint or in any way affect a witness’s truthfulness or accuracy, must be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carefully considered. The witness’s motive for testifying, when evident, is one of such factors. Similarly,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witness’s opportunity to observe what he claims to have witnessed, and a witness’s experience on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on which he gives opinion evidence, are factors that the court takes into consideration. All those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other factors, when applicable, assist the court to determine what weight and therefore, reliance, if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any, to place on the witness’s testimony. However, the legal requirement for a warning on the need for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corroboration is in respect of accomplice evidence. What is akin to that is the requirement, which has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grown in practice, and which has been pronounced on by this Court in many of its decisions, for the court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warn itself of the danger of convicting solely on identification evidence, especially of a single witness,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the circumstances were not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to correct identification. There is no legal requirement to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 a witness who has a purpose of his own to serve in a special way, though that purpose may be taken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consideration when assessing the witness’s credibility.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thrust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in describing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as a witness with a purpose of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own to serve was not clear, but it was hinged on the following statement made by the witness in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cross-examination: “It was my duty to collect information affecting security and pass it on to my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superiors. I reported to RC III Chairman as a result of which he moved from village to village”.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We do not accept that that statement </w:t>
      </w:r>
      <w:r>
        <w:rPr>
          <w:rFonts w:ascii="Times New Roman" w:hAnsi="Times New Roman" w:cs="Times New Roman"/>
          <w:i/>
          <w:iCs/>
          <w:color w:val="000000"/>
        </w:rPr>
        <w:t>per se</w:t>
      </w:r>
      <w:r>
        <w:rPr>
          <w:rFonts w:ascii="Times New Roman" w:hAnsi="Times New Roman" w:cs="Times New Roman"/>
          <w:color w:val="000000"/>
        </w:rPr>
        <w:t>, was indication that the witness had a purpose of his own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serve, rendering his evidence so suspect as to require it to be treated with caution. The role of a chief</w:t>
      </w:r>
      <w:r w:rsidR="009C66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matters concerning security, as well as in matters of maintaining law and order in his locality, is a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of common knowledge and is prescribed by law: see section 33(1)(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of the Local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(Resistance Councils) statute number 15 of 1993 which was in force then. In gathering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on those matters and reporting it to his superiors, or giving testimony on that information to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the witness was not serving a purpose of his own but was serving the state he is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employed to serve. Furthermore, he was not shown to have lied or exaggerated in order to cover up any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wrongdoing on his part.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whole we do not find any reason why the Court of Appeal, or for that matter the trial court</w:t>
      </w:r>
      <w:r w:rsidR="00D85480">
        <w:rPr>
          <w:rFonts w:ascii="Times New Roman" w:hAnsi="Times New Roman" w:cs="Times New Roman"/>
          <w:color w:val="000000"/>
        </w:rPr>
        <w:t>, should</w:t>
      </w:r>
      <w:r>
        <w:rPr>
          <w:rFonts w:ascii="Times New Roman" w:hAnsi="Times New Roman" w:cs="Times New Roman"/>
          <w:color w:val="000000"/>
        </w:rPr>
        <w:t xml:space="preserve"> have treated the evidence of Davis </w:t>
      </w:r>
      <w:proofErr w:type="spellStart"/>
      <w:r>
        <w:rPr>
          <w:rFonts w:ascii="Times New Roman" w:hAnsi="Times New Roman" w:cs="Times New Roman"/>
          <w:color w:val="000000"/>
        </w:rPr>
        <w:t>Wamaniala</w:t>
      </w:r>
      <w:proofErr w:type="spellEnd"/>
      <w:r>
        <w:rPr>
          <w:rFonts w:ascii="Times New Roman" w:hAnsi="Times New Roman" w:cs="Times New Roman"/>
          <w:color w:val="000000"/>
        </w:rPr>
        <w:t xml:space="preserve"> with any more caution than is necessary in respect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an ordinary witness. Besides, it must be said, Davis </w:t>
      </w:r>
      <w:proofErr w:type="spellStart"/>
      <w:r>
        <w:rPr>
          <w:rFonts w:ascii="Times New Roman" w:hAnsi="Times New Roman" w:cs="Times New Roman"/>
          <w:color w:val="000000"/>
        </w:rPr>
        <w:t>Wainaniala</w:t>
      </w:r>
      <w:proofErr w:type="spellEnd"/>
      <w:r>
        <w:rPr>
          <w:rFonts w:ascii="Times New Roman" w:hAnsi="Times New Roman" w:cs="Times New Roman"/>
          <w:color w:val="000000"/>
        </w:rPr>
        <w:t xml:space="preserve"> was not the only eye witness who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implicated the four Appellants. They were also implicated by </w:t>
      </w:r>
      <w:proofErr w:type="spellStart"/>
      <w:r>
        <w:rPr>
          <w:rFonts w:ascii="Times New Roman" w:hAnsi="Times New Roman" w:cs="Times New Roman"/>
          <w:color w:val="000000"/>
        </w:rPr>
        <w:t>Felista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Nasike</w:t>
      </w:r>
      <w:proofErr w:type="spellEnd"/>
      <w:r>
        <w:rPr>
          <w:rFonts w:ascii="Times New Roman" w:hAnsi="Times New Roman" w:cs="Times New Roman"/>
          <w:color w:val="000000"/>
        </w:rPr>
        <w:t>, another eye witness, as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pointed out earlier in this judgment. Finally we are satisfied that the Court of Appeal amply</w:t>
      </w:r>
      <w:r w:rsidR="00D854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re-evaluated the evidence as a whole. The Second and Third grounds of appeal must also fail.</w:t>
      </w:r>
      <w:bookmarkStart w:id="0" w:name="_GoBack"/>
      <w:bookmarkEnd w:id="0"/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</w:rPr>
        <w:t>theresult</w:t>
      </w:r>
      <w:proofErr w:type="spellEnd"/>
      <w:r>
        <w:rPr>
          <w:rFonts w:ascii="Times New Roman" w:hAnsi="Times New Roman" w:cs="Times New Roman"/>
          <w:color w:val="000000"/>
        </w:rPr>
        <w:t xml:space="preserve"> the appeal fails and is </w:t>
      </w:r>
      <w:proofErr w:type="spellStart"/>
      <w:r>
        <w:rPr>
          <w:rFonts w:ascii="Times New Roman" w:hAnsi="Times New Roman" w:cs="Times New Roman"/>
          <w:color w:val="000000"/>
        </w:rPr>
        <w:t>dimissed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Nsibambi</w:t>
      </w:r>
      <w:proofErr w:type="spellEnd"/>
    </w:p>
    <w:p w:rsidR="00EF1657" w:rsidRDefault="00EF1657" w:rsidP="00EF1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EF1657" w:rsidP="00EF1657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57"/>
    <w:rsid w:val="003F18BF"/>
    <w:rsid w:val="009C662F"/>
    <w:rsid w:val="00D85480"/>
    <w:rsid w:val="00EF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FEF01-8E20-4CB9-848C-C1BF02FC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2018-07-05T11:10:00Z</dcterms:created>
  <dcterms:modified xsi:type="dcterms:W3CDTF">2018-07-11T02:56:00Z</dcterms:modified>
</cp:coreProperties>
</file>