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B38" w:rsidRDefault="00E06B38" w:rsidP="00814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Yusuf v Republic</w:t>
      </w:r>
    </w:p>
    <w:p w:rsidR="00E06B38" w:rsidRDefault="00E06B38" w:rsidP="00814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E06B38" w:rsidRDefault="00E06B38" w:rsidP="00814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November 1974</w:t>
      </w:r>
    </w:p>
    <w:p w:rsidR="00E06B38" w:rsidRDefault="00E06B38" w:rsidP="00814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84/1974 (8/75)</w:t>
      </w:r>
    </w:p>
    <w:p w:rsidR="00E06B38" w:rsidRDefault="00E06B38" w:rsidP="00814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84/1974 (8/75)</w:t>
      </w:r>
    </w:p>
    <w:p w:rsidR="00E06B38" w:rsidRDefault="00E06B38" w:rsidP="00814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E06B38" w:rsidRDefault="00E06B38" w:rsidP="00814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06B38" w:rsidRDefault="00E06B38" w:rsidP="00814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Simpson and Kneller, J.J</w:t>
      </w:r>
    </w:p>
    <w:p w:rsidR="00E06B38" w:rsidRDefault="00E06B38" w:rsidP="00814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Jurisdiction – Act in Kenya – Whether act must be related to offence by showing</w:t>
      </w:r>
    </w:p>
    <w:p w:rsidR="00E06B38" w:rsidRDefault="00E06B38" w:rsidP="00814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preparation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or intent – Penal Code, s. </w:t>
      </w:r>
      <w:r>
        <w:rPr>
          <w:rFonts w:ascii="Times New Roman" w:hAnsi="Times New Roman" w:cs="Times New Roman"/>
          <w:color w:val="000000"/>
        </w:rPr>
        <w:t>6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servant of East African Airways Corporation was convicted in Nairobi of stealing money at Nairobi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airport. The servant received the money at Nairobi airport in Tanzanian currency to hand over to the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E.A.C. accountant at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Salaam. At Nairobi a receipt in duplicate was signed by the person who had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the servant the money and by the servant. The servant should then have had the receipt in duplicate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money checked by a third official and should have returned one of the receipts to Mr. </w:t>
      </w: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the servant failed to do. The servant went to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 and subsequently claimed expenses in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Nairobi for a journey to repatriate Tanzanian currency.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his trial, the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 accountant testified the currency had not been received and the servant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that he had mislaid the duplicate receipt at his house.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servant was convicted of the stealing by servant on the ground that he had received the money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Mr. </w:t>
      </w: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 xml:space="preserve"> and had failed to deliver the money to the accountant at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Salaam.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 to the High Court, a fresh point was taken that the offence had been committed in Tanzania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Kenya court had no jurisdiction. The High Court found there was no overt act sufficient to found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jurisdiction as required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Morjaria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 </w:t>
      </w:r>
      <w:r>
        <w:rPr>
          <w:rFonts w:ascii="Times New Roman" w:hAnsi="Times New Roman" w:cs="Times New Roman"/>
          <w:color w:val="000000"/>
        </w:rPr>
        <w:t>(2) but under s. 6 of the Penal Code, an act, albeit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innocent, was done in Kenya as part of a series of acts constituting the offence and the Kenya court had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jurisdiction.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(Law, Ag. V.-P. dissenting) an act or omission must be related to the offence by indicating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preparation or guilty intent before it can found jurisdiction;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(by Law, Ag. V.-P.) once it is shown that the relationship of master and servant existed in Kenya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servant has done or omitted in Kenya one of the acts constituting the offence there is</w:t>
      </w:r>
      <w:r w:rsidR="008140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jurisdiction;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failure to return the receipt in Kenya was by way of preparation for the offence and was an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overt</w:t>
      </w:r>
      <w:proofErr w:type="gramEnd"/>
      <w:r>
        <w:rPr>
          <w:rFonts w:ascii="Times New Roman" w:hAnsi="Times New Roman" w:cs="Times New Roman"/>
          <w:color w:val="000000"/>
        </w:rPr>
        <w:t xml:space="preserve"> act giving jurisdiction.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R. v. Hobson </w:t>
      </w:r>
      <w:r>
        <w:rPr>
          <w:rFonts w:ascii="Times New Roman" w:hAnsi="Times New Roman" w:cs="Times New Roman"/>
          <w:color w:val="000000"/>
        </w:rPr>
        <w:t>(1803), 168 E.R. 681.</w:t>
      </w:r>
    </w:p>
    <w:p w:rsidR="00E06B38" w:rsidRDefault="00E06B38" w:rsidP="00E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Morjaria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[1972] E.A. 10.</w:t>
      </w:r>
      <w:bookmarkStart w:id="0" w:name="_GoBack"/>
      <w:bookmarkEnd w:id="0"/>
    </w:p>
    <w:sectPr w:rsidR="00E0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38"/>
    <w:rsid w:val="008140F9"/>
    <w:rsid w:val="00E06B38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3235E-0AFE-4E39-B3A7-3538182F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2018-07-06T12:39:00Z</dcterms:created>
  <dcterms:modified xsi:type="dcterms:W3CDTF">2018-07-11T02:07:00Z</dcterms:modified>
</cp:coreProperties>
</file>