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Ziwa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Pioneer Gen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Assce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November 1973</w:t>
      </w:r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94/1973 (39/74)</w:t>
      </w:r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Compulsory third party insurance – Owner of goods carried under a</w:t>
      </w:r>
    </w:p>
    <w:p w:rsidR="00D11F8D" w:rsidRDefault="00D11F8D" w:rsidP="005E72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Carriage for hire or reward – Insurer liable.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plaintiff brought this suit under s. 104 of the Traffic Act 1951 (referred to hereinafter as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Act), which has since been repealed, to enforce against the defendant a judgment and decree in High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Civil Case 211 of 1971. The defendant is an insurance company, and will be referred to hereinafter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insurer.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of the present suit which are not disputed are as follows: on 23 November 1970, the plaintiff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hired a commercial motor vehicle, registration UQU. 671, for transportation of his goods, and as he was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carried on it as a passenger in pursuance of the hiring contract, it was involved in an accident as a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of which he sustained bodily injuries. He afterwards filed the said suit against the owner of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motor vehicle, claiming damages in negligence, and he obtained a judgment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40,000/-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plus costs. At the time of the accident there was in force an insurance policy with the insurer in respect of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to third parties, as required by s. 98 (1) of the Act. The plaintiff having failed to recover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decretal sum from the owner of the motor vehicle (to whom I shall refer hereinafter as the insured) then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the present suit against the insurer.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the contention of the plaintiff under the present proceedings that at the time of the accident 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third party within the meaning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Act, and that therefore he was entitled under s.104 of the Act to recover what was due to him under the judgment from the insurer when the insured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pay.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insurer, on the other hand, contends that the policy which was in force did not cover the plaintiff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 third party. Mr. </w:t>
      </w:r>
      <w:proofErr w:type="spellStart"/>
      <w:r>
        <w:rPr>
          <w:rFonts w:ascii="Times New Roman" w:hAnsi="Times New Roman" w:cs="Times New Roman"/>
          <w:color w:val="000000"/>
        </w:rPr>
        <w:t>Kateera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insurer has submitted that the plaintiff was not being carried as a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 in pursuance of a contract of employment, so as to be covered under the terms of the insurance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policy then in force. He submitted that under the Act, and in terms of the policy then in force, liability to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parties applied only to pedestrians and people out of a motor vehicle, but did not cover passengers,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 those who came within the provisions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such arguments on both sides it becomes necessary therefore to examine the relevant provisions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Act and the terms of the policy which was in force at the time of the accident to decide whether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is entitled to recover from the insurer as he claims.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104 (1) of the Act provides as follows: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“If, after a policy of insurance has been effected, judgment in respect of any such liability as is required to be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covered by a policy under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section 99 of this Act, being a liability covered by the terms of the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policy, is obtained against any person insured by the policy, then notwithstanding that the insurer may be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to avoid or cancel, or may have avoided or cancelled the policy, the insurer shall, subject to the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this section, pay to the persons entitled to the benefit of the judgment any sum payable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thereunder in respect of the liability, including any amount payable in respect of costs and any sum payable in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interest on that sum by virtue of any enactment relating to interest on judgments.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98 (1) of the Act makes it unlawful for any person to use a motor vehicle on a road unless there is in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 in relation to the user of that vehicle “a policy of insurance in respect of third party risks as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complies with the requirements of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Act”; and s. 99 provides that the requirements of s. 98 will be complied with by an insurance policy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which: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insures such person, persons, or classes of persons as may be specified in the policy in respect of any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liability which may be incurred by him or them in respect of the death of or bodily injury to any person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caused by or arising out of the use of the vehicle on the road;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 a policy in terms of this section shall not be required to cover:</w:t>
      </w:r>
    </w:p>
    <w:p w:rsidR="00D11F8D" w:rsidRDefault="005E7258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(ii</w:t>
      </w:r>
      <w:r w:rsidR="00D11F8D">
        <w:rPr>
          <w:rFonts w:ascii="Times New Roman" w:hAnsi="Times New Roman" w:cs="Times New Roman"/>
          <w:color w:val="000000"/>
          <w:sz w:val="20"/>
          <w:szCs w:val="20"/>
        </w:rPr>
        <w:t>) except in the case of a vehicle in which passengers are carried for hire or reward, or by reason of or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11F8D">
        <w:rPr>
          <w:rFonts w:ascii="Times New Roman" w:hAnsi="Times New Roman" w:cs="Times New Roman"/>
          <w:color w:val="000000"/>
          <w:sz w:val="20"/>
          <w:szCs w:val="20"/>
        </w:rPr>
        <w:t>pursuance of a contract of employment, injury to persons being carried in or upon or entering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11F8D">
        <w:rPr>
          <w:rFonts w:ascii="Times New Roman" w:hAnsi="Times New Roman" w:cs="Times New Roman"/>
          <w:color w:val="000000"/>
          <w:sz w:val="20"/>
          <w:szCs w:val="20"/>
        </w:rPr>
        <w:t>getting on or alighting from the vehicle at the time of the event out of which the claims arise. . . 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provisions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(ii) as set out are in fact embodied in the policy as sub-para. (iii) </w:t>
      </w:r>
      <w:proofErr w:type="gramStart"/>
      <w:r>
        <w:rPr>
          <w:rFonts w:ascii="Times New Roman" w:hAnsi="Times New Roman" w:cs="Times New Roman"/>
          <w:color w:val="000000"/>
        </w:rPr>
        <w:t>under</w:t>
      </w:r>
      <w:proofErr w:type="gramEnd"/>
      <w:r>
        <w:rPr>
          <w:rFonts w:ascii="Times New Roman" w:hAnsi="Times New Roman" w:cs="Times New Roman"/>
          <w:color w:val="000000"/>
        </w:rPr>
        <w:t xml:space="preserve">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heading: “Exceptions to section II”; and under the heading “Limitation as to use”, the Policy does not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cover </w:t>
      </w:r>
      <w:r>
        <w:rPr>
          <w:rFonts w:ascii="Times New Roman" w:hAnsi="Times New Roman" w:cs="Times New Roman"/>
          <w:i/>
          <w:iCs/>
          <w:color w:val="000000"/>
        </w:rPr>
        <w:t>use for hire or reward</w:t>
      </w:r>
      <w:r>
        <w:rPr>
          <w:rFonts w:ascii="Times New Roman" w:hAnsi="Times New Roman" w:cs="Times New Roman"/>
          <w:color w:val="000000"/>
        </w:rPr>
        <w:t>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because of the above provisions of the Act, and the exceptions and limitations as to use that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Kateera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plaintiff who was not a party to the contract of insurance was not covered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the policy as a third party so as to claim from the insurer the decretal sum in his favour under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original suit. In his submissions Mr. </w:t>
      </w:r>
      <w:proofErr w:type="spellStart"/>
      <w:r>
        <w:rPr>
          <w:rFonts w:ascii="Times New Roman" w:hAnsi="Times New Roman" w:cs="Times New Roman"/>
          <w:color w:val="000000"/>
        </w:rPr>
        <w:t>Kateera</w:t>
      </w:r>
      <w:proofErr w:type="spellEnd"/>
      <w:r>
        <w:rPr>
          <w:rFonts w:ascii="Times New Roman" w:hAnsi="Times New Roman" w:cs="Times New Roman"/>
          <w:color w:val="000000"/>
        </w:rPr>
        <w:t xml:space="preserve"> relied on two recent decisions of the House of Lords,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namely </w:t>
      </w:r>
      <w:r>
        <w:rPr>
          <w:rFonts w:ascii="Times New Roman" w:hAnsi="Times New Roman" w:cs="Times New Roman"/>
          <w:i/>
          <w:iCs/>
          <w:color w:val="000000"/>
        </w:rPr>
        <w:t>Albert v. Motor Insurer’s Bureau</w:t>
      </w:r>
      <w:r>
        <w:rPr>
          <w:rFonts w:ascii="Times New Roman" w:hAnsi="Times New Roman" w:cs="Times New Roman"/>
          <w:color w:val="000000"/>
        </w:rPr>
        <w:t xml:space="preserve">, [1971] 2 All E.R. 1345; and </w:t>
      </w:r>
      <w:r>
        <w:rPr>
          <w:rFonts w:ascii="Times New Roman" w:hAnsi="Times New Roman" w:cs="Times New Roman"/>
          <w:i/>
          <w:iCs/>
          <w:color w:val="000000"/>
        </w:rPr>
        <w:t>Motor Insurers’ Bureau v.</w:t>
      </w:r>
      <w:r w:rsidR="005E725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Meaned</w:t>
      </w:r>
      <w:proofErr w:type="spellEnd"/>
      <w:r>
        <w:rPr>
          <w:rFonts w:ascii="Times New Roman" w:hAnsi="Times New Roman" w:cs="Times New Roman"/>
          <w:color w:val="000000"/>
        </w:rPr>
        <w:t>, [1971] 2. All E.R. 1372. These two cases were heard at about the same time by the same Lords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in each case the House had to consider and interpret the phrase “a vehicle in which passengers </w:t>
      </w:r>
      <w:proofErr w:type="gramStart"/>
      <w:r>
        <w:rPr>
          <w:rFonts w:ascii="Times New Roman" w:hAnsi="Times New Roman" w:cs="Times New Roman"/>
          <w:color w:val="000000"/>
        </w:rPr>
        <w:t>are</w:t>
      </w:r>
      <w:r w:rsidR="005E7258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carried</w:t>
      </w:r>
      <w:proofErr w:type="gramEnd"/>
      <w:r>
        <w:rPr>
          <w:rFonts w:ascii="Times New Roman" w:hAnsi="Times New Roman" w:cs="Times New Roman"/>
          <w:color w:val="000000"/>
        </w:rPr>
        <w:t xml:space="preserve"> for hire or reward”, used in English Traffic Acts.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Lord Donovan the phrase in question could not be construed as meaning any vehicle in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passengers were in fact being carried for hire or reward at the time of the occurrence of an event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rise to a claim. His view was that it must be a vehicle, be it public like a bus or taxi, or private,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habitually or normally carries passengers for money or money’s worth. This view was also shared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Lord Pearson who, however, doubted “whether the course of conduct has to be so extensive as to be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habitual or normal</w:t>
      </w:r>
      <w:proofErr w:type="gramStart"/>
      <w:r>
        <w:rPr>
          <w:rFonts w:ascii="Times New Roman" w:hAnsi="Times New Roman" w:cs="Times New Roman"/>
          <w:color w:val="000000"/>
        </w:rPr>
        <w:t>”, . . . .</w:t>
      </w:r>
      <w:proofErr w:type="gramEnd"/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Lord Cross of Chelsea was of the opinion that “a vehicle may well be one in which ‘passengers are,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carried for hire and reward’ . . . although it is not normally or habitually so used; and this appears also to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been the view of 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 xml:space="preserve">. Viscount </w:t>
      </w:r>
      <w:proofErr w:type="spellStart"/>
      <w:r>
        <w:rPr>
          <w:rFonts w:ascii="Times New Roman" w:hAnsi="Times New Roman" w:cs="Times New Roman"/>
          <w:color w:val="000000"/>
        </w:rPr>
        <w:t>Dilhorne</w:t>
      </w:r>
      <w:proofErr w:type="spellEnd"/>
      <w:r>
        <w:rPr>
          <w:rFonts w:ascii="Times New Roman" w:hAnsi="Times New Roman" w:cs="Times New Roman"/>
          <w:color w:val="000000"/>
        </w:rPr>
        <w:t xml:space="preserve"> on the other hand expressed the following view: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 car in which there are passengers being carried for hire or reward is at that time a vehicle in which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are carried for hire or reward . . . the use of the car even on one isolated occasion for that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makes the car a vehicle in which passengers are carried for hire or reward”.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Adopting the reasoning of the majority of their Lordships in the cases cited, Mr. </w:t>
      </w:r>
      <w:proofErr w:type="spellStart"/>
      <w:r>
        <w:rPr>
          <w:rFonts w:ascii="Times New Roman" w:hAnsi="Times New Roman" w:cs="Times New Roman"/>
          <w:color w:val="000000"/>
        </w:rPr>
        <w:t>Kateera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order to construe the phrase “a vehicle in which passengers are carried for hire or reward” one has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look at the purpose for which the vehicle is normally used; and that as there was no evidence that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of the assured in this case was being normally used to carry passengers either as a bus or as a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taxi,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on that vehicle was not a third party within the meaning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Act, and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no compulsory insurance was required to cover him.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Kityo</w:t>
      </w:r>
      <w:proofErr w:type="spellEnd"/>
      <w:r>
        <w:rPr>
          <w:rFonts w:ascii="Times New Roman" w:hAnsi="Times New Roman" w:cs="Times New Roman"/>
          <w:color w:val="000000"/>
        </w:rPr>
        <w:t>, on the other hand, submitted for the plaintiff that the “limitation as to use” clause and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 (iii) under the exceptions to section II of the policy were conditions designed to exclude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of the insurer to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parties, and that as the plaintiff was a third party within the meaning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Act,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conditions are void because of s. 102 of the Act. This section provides as follows: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“102: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condition in a policy of insurance providing that no liability shall arise under the policy, or that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liability so arising shall cease in the event of some specified thing being done or omitted to be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done after the happening of the event giving rise to a claim under the policy, shall, as respects such</w:t>
      </w:r>
      <w:r w:rsidR="005E72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liabilities as are required to be covered by a policy under section 99 of this Act, be of no effect.”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is a proviso which is not relevant to our case. Mr. </w:t>
      </w:r>
      <w:proofErr w:type="spellStart"/>
      <w:r>
        <w:rPr>
          <w:rFonts w:ascii="Times New Roman" w:hAnsi="Times New Roman" w:cs="Times New Roman"/>
          <w:color w:val="000000"/>
        </w:rPr>
        <w:t>Kityo</w:t>
      </w:r>
      <w:proofErr w:type="spellEnd"/>
      <w:r>
        <w:rPr>
          <w:rFonts w:ascii="Times New Roman" w:hAnsi="Times New Roman" w:cs="Times New Roman"/>
          <w:color w:val="000000"/>
        </w:rPr>
        <w:t xml:space="preserve"> relied also on two decisions of the Court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for East Africa, namely: </w:t>
      </w:r>
      <w:r>
        <w:rPr>
          <w:rFonts w:ascii="Times New Roman" w:hAnsi="Times New Roman" w:cs="Times New Roman"/>
          <w:i/>
          <w:iCs/>
          <w:color w:val="000000"/>
        </w:rPr>
        <w:t>The New Great Insurance Co. of India v. Cross</w:t>
      </w:r>
      <w:r>
        <w:rPr>
          <w:rFonts w:ascii="Times New Roman" w:hAnsi="Times New Roman" w:cs="Times New Roman"/>
          <w:color w:val="000000"/>
        </w:rPr>
        <w:t>, [1966] E.A. 90, and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Kayanja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New India Assurance Co</w:t>
      </w:r>
      <w:r>
        <w:rPr>
          <w:rFonts w:ascii="Times New Roman" w:hAnsi="Times New Roman" w:cs="Times New Roman"/>
          <w:color w:val="000000"/>
        </w:rPr>
        <w:t xml:space="preserve">., [1968] E.A. 295; and on a decision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Ajwang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The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British India General Insurance Co</w:t>
      </w:r>
      <w:r>
        <w:rPr>
          <w:rFonts w:ascii="Times New Roman" w:hAnsi="Times New Roman" w:cs="Times New Roman"/>
          <w:color w:val="000000"/>
        </w:rPr>
        <w:t>. [1968] E.A. 436.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New Great Insurance </w:t>
      </w:r>
      <w:r>
        <w:rPr>
          <w:rFonts w:ascii="Times New Roman" w:hAnsi="Times New Roman" w:cs="Times New Roman"/>
          <w:color w:val="000000"/>
        </w:rPr>
        <w:t>case originated in Kenya where ss. 4 (1), 5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8, and 10 of the Motor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Vehicles Third Party Risks are equivalent to ss. 98 (1),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102 and 104 of our Act; and the decision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that case, as well as that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Kayanja’s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which is a Uganda case, and where ss.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102 and 104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Act were considered, are binding on me.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Ajwang’s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ss. 98 (1),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102 and 104 were also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by this Court. In each of these cases, however, no difficulties arose because the person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claiming to be paid was clearly a third party within the meaning of the relevant section. The difficulty in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the present case is to determine first whether the plaintiff is right in his claim that he was a third party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was travelling on the insured’s motor vehicle at the time of the accident.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pointed out above, there is no evidence before the Court to show that the insured, before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accident, was in the habit of carrying passengers in his motor vehicle so as to make it “a vehicle in which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are carried for hire or reward, within the meaning 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Act. However, as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Viscount </w:t>
      </w:r>
      <w:proofErr w:type="spellStart"/>
      <w:r>
        <w:rPr>
          <w:rFonts w:ascii="Times New Roman" w:hAnsi="Times New Roman" w:cs="Times New Roman"/>
          <w:color w:val="000000"/>
        </w:rPr>
        <w:t>Dilhorne</w:t>
      </w:r>
      <w:proofErr w:type="spellEnd"/>
      <w:r>
        <w:rPr>
          <w:rFonts w:ascii="Times New Roman" w:hAnsi="Times New Roman" w:cs="Times New Roman"/>
          <w:color w:val="000000"/>
        </w:rPr>
        <w:t xml:space="preserve"> pointed out the use of a motor vehicle even on an isolated occasion to carry persons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hire or reward makes that vehicle one in which passengers are carried for hire or reward. It would, in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view, be unrealistic to hold that the insured’s vehicle at the material time was outside the provisions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s. 99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(ii) of the Act, when the circumstances under which the plaintiff was travelling on the vehicle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carefully considered. This was a commercial vehicle which had been insured as such, and the plaintiff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travelling on it when it was engaged in business. It would have been different if the plaintiff had just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given a lift, entirely unconnected with the commercial nature of the vehicle. Liability in respect of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party risks should have been covered. It follows, therefore, that the insurer’s inclusion in the policy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conditions mentioned above to exclude that liability is void under s. 102 of the Act.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hold, therefore, that the insurer is liable to indemnify the insured for the bodily injuries sustained by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who at the time of the accident should have been covered as a third party by the policy. The</w:t>
      </w:r>
      <w:r w:rsidR="005E725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plaintiff is accordingly entitled to recover the decretal sum from the insurer.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Kityo</w:t>
      </w:r>
      <w:proofErr w:type="spellEnd"/>
    </w:p>
    <w:p w:rsidR="00D11F8D" w:rsidRDefault="00D11F8D" w:rsidP="00D11F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B48C8" w:rsidRDefault="00D11F8D" w:rsidP="00D11F8D"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Kasibayo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8D"/>
    <w:rsid w:val="005E7258"/>
    <w:rsid w:val="006B48C8"/>
    <w:rsid w:val="00D1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93B56-A2F8-4537-A31F-35D4859D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2018-07-05T13:34:00Z</dcterms:created>
  <dcterms:modified xsi:type="dcterms:W3CDTF">2018-07-10T15:44:00Z</dcterms:modified>
</cp:coreProperties>
</file>