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0"/>
          <w:szCs w:val="40"/>
          <w:color w:val="000000"/>
        </w:rPr>
        <w:t xml:space="preserve">Redes gênicas e a perda de APTX (AOA1):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8"/>
          <w:szCs w:val="28"/>
          <w:color w:val="000000"/>
        </w:rPr>
        <w:t xml:space="preserve">reprogramação do transcriptoma e o módulo das ataxias de reparo de DNA</w:t>
      </w:r>
    </w:p>
    <w:p>
      <w:pPr>
        <w:pStyle w:val="Normal"/>
      </w:pPr>
      <w:r>
        <w:t xml:space="preserve"/>
      </w:r>
    </w:p>
    <w:p>
      <w:pPr>
        <w:pStyle w:val="centered"/>
      </w:pPr>
      <w:r>
        <w:t xml:space="preserve">Projeto final — Biologia de Sistemas (PPGAB / UFPR–UTFPR)</w:t>
      </w:r>
    </w:p>
    <w:p>
      <w:pPr>
        <w:pStyle w:val="centered"/>
      </w:pPr>
      <w:r>
        <w:t xml:space="preserve">Dados: GSE245766 — microglia humana HMC3, desenho fatorial 2×2 (genótipo APTX-KO/WT × estímulo imune IS/NS), n = 12</w:t>
      </w:r>
    </w:p>
    <w:p>
      <w:pPr>
        <w:pStyle w:val="centered"/>
      </w:pPr>
      <w:r>
        <w:t xml:space="preserve">09/06/2026</w:t>
      </w:r>
    </w:p>
    <w:p>
      <w:pPr/>
      <w:r>
        <w:br w:type="page"/>
      </w:r>
    </w:p>
    <w:p>
      <w:pPr>
        <w:pStyle w:val="Titre1"/>
      </w:pPr>
      <w:r>
        <w:t xml:space="preserve">Resumo</w:t>
      </w:r>
    </w:p>
    <w:p>
      <w:pPr>
        <w:pStyle w:val="Normal"/>
      </w:pPr>
      <w:r>
        <w:t xml:space="preserve">A aprataxina (APTX) repara quebras de fita simples de DNA e é a causa da Ataxia com Apraxia Oculomotora tipo 1 (AOA1). Investigamos como a perda de APTX reorganiza o transcriptoma de microglia humana (HMC3) num desenho fatorial 2×2 (genótipo × estímulo imune; n = 12), por expressão diferencial (DESeq2), co-expressão (WGCNA), co-expressão diferencial (CoDiNA), enriquecimento funcional (GO/KEGG), um classificador validado (LOO-CV com seleção de atributos aninhada) e Medicina de Redes (STRINGdb). O efeito do genótipo abrange 1.221 genes diferencialmente expressos (DEGs), dominados pelo programa de interferon/antiviral (IFI44L, IFITM1, OAS1, RIG-I/DDX58), majoritariamente reprimido no KO. O enriquecimento destaca resposta a vírus, sinalização por interferon tipo I/II, NF-κB e receptores NOD-like. Os próprios genes de reparo de DNA mudam pouco em magnitude (nenhum cruza |log2FC| &gt; 1), mas vários são estatisticamente significativos. Concluímos que a perda de APTX não reprograma transcricionalmente os genes de reparo em si — atua no nível enzimático —, mas reconfigura a jusante o programa imune inato, coerente com o papel emergente do APTX na via cGAS-STING / RIG-I-MAVS.</w:t>
      </w:r>
    </w:p>
    <w:p>
      <w:pPr>
        <w:pStyle w:val="Titre1"/>
      </w:pPr>
      <w:r>
        <w:t xml:space="preserve">1. Introdução</w:t>
      </w:r>
    </w:p>
    <w:p>
      <w:pPr>
        <w:pStyle w:val="Normal"/>
      </w:pPr>
      <w:r>
        <w:t xml:space="preserve">O APTX (aprataxina) resolve intermediários abortivos 5′-adenilados da ligação de DNA, atuando no reparo de quebras de fita simples (SSBR) em parceria com XRCC1/XRCC4. Sua perda causa a AOA1, ataxia recessiva do grupo das ataxias de reparo de DNA (com SETX/AOA2, PNKP/AOA4, ATM/AT). Um papel recém-descrito na imunidade inata (cGAS-STING, RIG-I/MAVS) torna o gene um alvo rico para análise de redes. Pergunta: como a perda de APTX reorganiza a rede de co-expressão gênica e quais processos (reparo de DNA, resposta imune inata) são afetados? O APTX e seus parceiros formam um módulo coerente na rede de interações?</w:t>
      </w:r>
    </w:p>
    <w:p>
      <w:pPr>
        <w:pStyle w:val="Titre1"/>
      </w:pPr>
      <w:r>
        <w:t xml:space="preserve">2. Dados e Métodos</w:t>
      </w:r>
    </w:p>
    <w:p>
      <w:pPr>
        <w:pStyle w:val="Normal"/>
      </w:pPr>
      <w:r>
        <w:t xml:space="preserve">Dados: GSE245766 (RNA-seq), linhagem de microglia humana HMC3, desenho fatorial 2×2 — genótipo (APTX-KO vs. selvagem) × estímulo imune (estimulado IS vs. não-estimulado NS), 3 réplicas por condição (n = 12). Pré-processamento: filtro de baixa expressão (edgeR::filterByExpr; 15.600 genes retidos) e estabilização de variância (DESeq2::vst).</w:t>
      </w:r>
    </w:p>
    <w:p>
      <w:pPr>
        <w:pStyle w:val="Normal"/>
      </w:pPr>
      <w:r>
        <w:t xml:space="preserve">Expressão diferencial: DESeq2 com desenho ~ genótipo + estímulo + genótipo:estímulo (corte: padj &lt; 0,05 e |log2FC| &gt; 1). Co-expressão: WGCNA (rede signed). Como o ajuste scale-free falha com n pequeno, usou-se o power recomendado pelo WGCNA para redes signed (β = 18). Co-expressão diferencial: CoDiNA (rede APTX-KO × WT). Enriquecimento: clusterProfiler (GO BP e KEGG, humano). Classificação KO×WT: glmnet (elastic-net) com validação leave-one-out; para evitar viés de seleção (Ambroise &amp; McLachlan, 2002), a seleção de DEGs é refeita dentro de cada fold (limma), enquanto os eigengenes do WGCNA — não supervisionados — entram como conjunto fixo. Medicina de Redes: STRINGdb v12.0 (Homo sapiens, score ≥ 400) + igraph (grau, intermediação, proximidade).</w:t>
      </w:r>
    </w:p>
    <w:p>
      <w:pPr>
        <w:pStyle w:val="Titre1"/>
      </w:pPr>
      <w:r>
        <w:t xml:space="preserve">3. Resultados</w:t>
      </w:r>
    </w:p>
    <w:p>
      <w:pPr>
        <w:pStyle w:val="Titre2"/>
      </w:pPr>
      <w:r>
        <w:t xml:space="preserve">3.1 Expressão diferencial (DESeq2)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Contraste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Testados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DEGs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Genótipo (KO vs WT)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Estímulo (IS vs 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355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Interação genótipo×estímulo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15,600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</w:tr>
    </w:tbl>
    <w:p>
      <w:pPr>
        <w:pStyle w:val="centered"/>
      </w:pPr>
      <w:r>
        <w:t xml:space="preserve">Tabela 1. Número de genes diferencialmente expressos por contraste (padj &lt; 0,05 e |log2FC| &gt; 1).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log2FC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padj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IFI44L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0.00e+00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0.00e+00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GOLGA4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0.00e+00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0.00e+00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CDH13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0.00e+00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OAS1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0.00e+00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0.00e+00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0.00e+00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0.00e+00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USP18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0.00e+00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0.00e+00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0.00e+00</w:t>
            </w:r>
          </w:p>
        </w:tc>
      </w:tr>
    </w:tbl>
    <w:p>
      <w:pPr>
        <w:pStyle w:val="centered"/>
      </w:pPr>
      <w:r>
        <w:t xml:space="preserve">Tabela 2. Top 12 DEGs do efeito do genótipo (KO vs WT). Predomina o programa interferon/antiviral.</w:t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029200" cy="3767328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67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Figura 1. Volcano plot do efeito do genótipo (APTX-KO vs WT).</w:t>
      </w:r>
    </w:p>
    <w:p>
      <w:pPr>
        <w:pStyle w:val="Normal"/>
      </w:pPr>
      <w:r>
        <w:t xml:space="preserve">O efeito do genótipo abrange 1.221 DEGs. Entre os mais significativos estão genes estimulados por interferon (IFI44L, IFITM1, OAS1, IFI6, IFIT1, USP18, BST2) e o sensor citosólico RIG-I (DDX58), majoritariamente reprimidos no KO — já apontando o eixo imune inato.</w:t>
      </w:r>
    </w:p>
    <w:p>
      <w:pPr>
        <w:pStyle w:val="Titre2"/>
      </w:pPr>
      <w:r>
        <w:t xml:space="preserve">3.2 Co-expressão (WGCNA)</w:t>
      </w:r>
    </w:p>
    <w:p>
      <w:pPr>
        <w:pStyle w:val="Normal"/>
      </w:pPr>
      <w:r>
        <w:rPr/>
        <w:drawing>
          <wp:inline distT="0" distB="0" distL="0" distR="0">
            <wp:extent cx="5943600" cy="2971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Figura 2. Ajuste scale-free e conectividade média vs. power. Com n = 12 o ajuste é fraco; adotou-se β = 18 (recomendação WGCNA para redes signed).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cor_genotipo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p_genotipo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cor_estimulo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p_estimulo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yellow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1.32e-08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5.89e-01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9.29e-07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3.82e-01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1.50e-01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7.18e-02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3.86e-02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3.94e-03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1.22e-06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turquoise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8.63e-01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1.14e-08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8.70e-01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8.06e-01</w:t>
            </w:r>
          </w:p>
        </w:tc>
      </w:tr>
    </w:tbl>
    <w:p>
      <w:pPr>
        <w:pStyle w:val="centered"/>
      </w:pPr>
      <w:r>
        <w:t xml:space="preserve">Tabela 3. Correlação módulo–traço (eigengene vs. genótipo e estímulo).</w:t>
      </w:r>
    </w:p>
    <w:p>
      <w:pPr>
        <w:pStyle w:val="Normal"/>
      </w:pPr>
      <w:r>
        <w:t xml:space="preserve">Foram detectados 8 módulos. Os módulos yellow (r = -0,98; p = 1,3×10⁻⁸) e blue (r = +0,96; p = 9,3×10⁻⁷) associam-se fortemente ao genótipo, enquanto turquoise (r = +0,98) e red (r = -0,96) captam o estímulo — ou seja, o desenho fatorial separa-se bem em módulos de genótipo e de estímulo. Dos genes-semente, apenas SETX (turquoise), TDP1 e LIG3 (blue) entram na rede; os demais (incl. APTX) ficam fora do conjunto dos 5.000 genes mais variáveis — consistente com sua baixa variação transcricional.</w:t>
      </w:r>
    </w:p>
    <w:p>
      <w:pPr>
        <w:pStyle w:val="Titre2"/>
      </w:pPr>
      <w:r>
        <w:t xml:space="preserve">3.3 Co-expressão diferencial (CoDiNA)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Comum (α)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Específico KO (g.KO)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Específico WT (g.WT)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Específico WT (b.WT)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Indefinido (U)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pStyle w:val="centered"/>
      </w:pPr>
      <w:r>
        <w:t xml:space="preserve">Tabela 4. Classificação dos nós na rede de co-expressão diferencial (CoDiNA), KO vs WT.</w:t>
      </w:r>
    </w:p>
    <w:p>
      <w:pPr>
        <w:pStyle w:val="Normal"/>
      </w:pPr>
      <w:r>
        <w:t xml:space="preserve">A comparação das redes de co-expressão revela rewiring substancial: 224 nós têm conectividade específica do KO e 291 específica do WT, contra 1.454 conservados. Ou seja, a perda de APTX não muda apenas níveis de expressão, mas a própria arquitetura de co-expressão.</w:t>
      </w:r>
    </w:p>
    <w:p>
      <w:pPr>
        <w:pStyle w:val="Titre2"/>
      </w:pPr>
      <w:r>
        <w:t xml:space="preserve">3.4 Enriquecimento funcional (GO/KEGG)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Termo_GO_BP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p_ajust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response to virus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4.64e-11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defense response to virus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defense response to symbiont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negative regulation of viral genome replication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negative regulation of viral 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1.99e-08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regulation of viral genome replication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regulation of viral 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1.98e-07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regulation of viral life cycle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3.06e-07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cell-cell adhesion via plasma-membrane adhesion molecul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regulation of MAPK cascade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viral genome replication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3.27e-06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renal system development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7.26e-06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</w:tr>
    </w:tbl>
    <w:p>
      <w:pPr>
        <w:pStyle w:val="centered"/>
      </w:pPr>
      <w:r>
        <w:t xml:space="preserve">Tabela 5. Top 12 termos GO (Processo Biológico) enriquecidos (de 368 termos).</w:t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922776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22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Figura 3. Dotplot dos termos GO BP enriquecidos (APTX-KO vs WT).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Via_KEGG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p_ajust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Cytokine-cytokine receptor interaction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2.12e-05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Calcium signaling 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TGF-beta signaling 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Influenza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4.41e-03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NF-kappa B signaling 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4.41e-03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NOD-like receptor signaling 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4.41e-03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Rheumatoid arthritis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4.41e-03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Cadherin 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4.48e-03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Cell adhesion molecule (CAM) interaction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6.72e-03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Measles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6.72e-03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Osteoclast 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9.62e-03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Fluid shear stress and atherosclerosis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9.62e-03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</w:tr>
    </w:tbl>
    <w:p>
      <w:pPr>
        <w:pStyle w:val="centered"/>
      </w:pPr>
      <w:r>
        <w:t xml:space="preserve">Tabela 6. Vias KEGG enriquecidas (de 23 vias).</w:t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922776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22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Figura 4. Dotplot das vias KEGG enriquecidas.</w:t>
      </w:r>
    </w:p>
    <w:p>
      <w:pPr>
        <w:pStyle w:val="Normal"/>
      </w:pPr>
      <w:r>
        <w:t xml:space="preserve">GO e KEGG convergem no eixo imune inato/antiviral: resposta a vírus, sinalização por interferon tipo I e II, produção de IFN-β, e vias KEGG de NF-κB, receptores NOD-like, Influenza A e Measles. É a assinatura cGAS-STING / RIG-I-MAVS esperada.</w:t>
      </w:r>
    </w:p>
    <w:p>
      <w:pPr>
        <w:pStyle w:val="Titre2"/>
      </w:pPr>
      <w:r>
        <w:t xml:space="preserve">3.5 Classificação (LOO-CV) e métricas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Precisao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Baseline (DEGs, seleção aninhada)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Rede (eigengenes WGCNA)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pStyle w:val="centered"/>
      </w:pPr>
      <w:r>
        <w:t xml:space="preserve">Tabela 7. Métricas de classificação KO vs WT (LOO-CV; seleção de DEGs aninhada).</w:t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4389120" cy="3986784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986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Figura 5. Curvas ROC — baseline (DEGs) vs. rede (eigengenes WGCNA).</w:t>
      </w:r>
    </w:p>
    <w:p>
      <w:pPr>
        <w:pStyle w:val="Normal"/>
      </w:pPr>
      <w:r>
        <w:t xml:space="preserve">Ambos os modelos atingem AUC = 1 e classificação perfeita (12/12). Como a seleção de DEGs foi aninhada no LOO (sem vazamento), a separação perfeita reflete a forte distinção biológica entre WT e knockout, não otimismo metodológico. A contrapartida é que a tarefa é fácil demais para discriminar os dois conjuntos de atributos.</w:t>
      </w:r>
    </w:p>
    <w:p>
      <w:pPr>
        <w:pStyle w:val="Titre2"/>
      </w:pPr>
      <w:r>
        <w:t xml:space="preserve">3.6 Medicina de Redes (STRINGdb)</w:t>
      </w:r>
    </w:p>
    <w:p>
      <w:pPr>
        <w:pStyle w:val="Normal"/>
      </w:pPr>
      <w:r>
        <w:rPr/>
        <w:drawing>
          <wp:inline distT="0" distB="0" distL="0" distR="0">
            <wp:extent cx="4572000" cy="45720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Figura 6. Sub-rede STRING dos genes-semente (módulo das ataxias de reparo de DNA).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Grau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Intermediacao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Signif_KO_padj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ATM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55,681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não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não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XRCC1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não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SETX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não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XRCC4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APTX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PNKP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não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TDP1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</w:t>
            </w:r>
          </w:p>
        </w:tc>
      </w:tr>
    </w:tbl>
    <w:p>
      <w:pPr>
        <w:pStyle w:val="centered"/>
      </w:pPr>
      <w:r>
        <w:t xml:space="preserve">Tabela 8. Centralidade dos genes-semente na rede STRING e significância no KO (padj &lt; 0,05).</w:t>
      </w:r>
    </w:p>
    <w:p>
      <w:pPr>
        <w:pStyle w:val="Normal"/>
      </w:pPr>
      <w:r>
        <w:t xml:space="preserve">ATM e PARP1 são os hubs do módulo (maior grau e intermediação), reguladores centrais do reparo. O APTX, embora de grau modesto, exibe intermediação alta (~12.430), atuando como conector/bottleneck entre subgrupos — coerente com seu papel de ponte no SSBR. Nenhum gene-semente cruza o corte estrito de |log2FC| &gt; 1, mas cinco são significativos por padj (APTX, TDP1, XRCC1, XRCC4, LIG3): o eixo funcional ao redor do APTX é sutilmente reprogramado.</w:t>
      </w:r>
    </w:p>
    <w:p>
      <w:pPr>
        <w:pStyle w:val="Titre1"/>
      </w:pPr>
      <w:r>
        <w:t xml:space="preserve">4. Discussão</w:t>
      </w:r>
    </w:p>
    <w:p>
      <w:pPr>
        <w:pStyle w:val="Normal"/>
      </w:pPr>
      <w:r>
        <w:t xml:space="preserve">Os resultados convergem para uma narrativa coerente. A perda de APTX não altera substancialmente a expressão dos próprios genes de reparo de DNA — esperado, pois o APTX atua no nível enzimático (resolução de intermediários de ligação), não como regulador transcricional. O reflexo transcricional forte ocorre a jusante, no programa imune inato/interferon, captado de forma consistente pela expressão diferencial (RIG-I, OAS1, ISGs), pelo enriquecimento (resposta a vírus, IFN tipo I/II, NF-κB, NOD-like) e pelo rewiring da co-expressão (CoDiNA). Isso conecta-se ao papel emergente do APTX na via cGAS-STING / RIG-I-MAVS. Na rede de interações, APTX comporta-se como conector (alta intermediação) dentro do módulo das ataxias de reparo, ancorado por hubs como ATM e PARP1.</w:t>
      </w:r>
    </w:p>
    <w:p>
      <w:pPr>
        <w:pStyle w:val="Titre1"/>
      </w:pPr>
      <w:r>
        <w:t xml:space="preserve">5. Limitações</w:t>
      </w:r>
    </w:p>
    <w:p>
      <w:pPr>
        <w:pStyle w:val="Normal"/>
      </w:pPr>
      <w:r>
        <w:t xml:space="preserve">(i) Modelo celular (microglia HMC3), não tecido de paciente; n pequeno (3/condição), o que torna o WGCNA exploratório e justifica o foco em módulos, não arestas isoladas. (ii) O ajuste scale-free falha com n = 12; o power foi fixado por recomendação (β = 18), não por estimativa de dados. (iii) A classificação KO×WT é trivial (AUC = 1) e não discrimina conjuntos de atributos; uma tarefa mais difícil (efeito do estímulo ou interação) seria mais informativa. (iv) O APTX aparece ligeiramente aumentado em mRNA (log2FC = +0,27), sugerindo knockout funcional/proteico com mRNA preservado — a estratégia de KO do estudo original deve ser confirmada.</w:t>
      </w:r>
    </w:p>
    <w:p>
      <w:pPr>
        <w:pStyle w:val="Titre1"/>
      </w:pPr>
      <w:r>
        <w:t xml:space="preserve">6. Conclusão</w:t>
      </w:r>
    </w:p>
    <w:p>
      <w:pPr>
        <w:pStyle w:val="Normal"/>
      </w:pPr>
      <w:r>
        <w:t xml:space="preserve">A perda de APTX em microglia humana reprograma o transcriptoma sobretudo no eixo imune inato/interferon, e não pela alteração transcricional dos genes de reparo em si. Os parceiros de APTX no SSBR/NHEJ (XRCC1, XRCC4, LIG3, TDP1) mostram mudanças sutis porém significativas, e o APTX ocupa posição de conector no módulo das ataxias de reparo de DNA. Os achados situam a AOA1 na interface entre reparo de DNA e imunidade inata.</w:t>
      </w:r>
    </w:p>
    <w:p>
      <w:pPr>
        <w:pStyle w:val="Titre1"/>
      </w:pPr>
      <w:r>
        <w:t xml:space="preserve">Reprodutibilidade</w:t>
      </w:r>
    </w:p>
    <w:p>
      <w:pPr>
        <w:pStyle w:val="Normal"/>
      </w:pPr>
      <w:r>
        <w:t xml:space="preserve">Seed fixa (42). Pipeline em R/00–09. Ambiente: R 4.3.3 + Bioconductor 3.18 (versões fixadas). Dados brutos não versionados (termos GEO/STRING).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b24da903316b6e9a24b3508bdb6a7ed0e41e47d5.png"/>
<Relationship Id="rId8" Type="http://schemas.openxmlformats.org/officeDocument/2006/relationships/image" Target="media/fd0f850ad636f968ff99f9aa296e359a32db4f1b.png"/>
<Relationship Id="rId9" Type="http://schemas.openxmlformats.org/officeDocument/2006/relationships/image" Target="media/31b1bf4ada237387958008c3aa4b1c12b3e005e7.png"/>
<Relationship Id="rId10" Type="http://schemas.openxmlformats.org/officeDocument/2006/relationships/image" Target="media/dfc193b400a1a6dcf3ee25bfbb2458151210f7f2.png"/>
<Relationship Id="rId11" Type="http://schemas.openxmlformats.org/officeDocument/2006/relationships/image" Target="media/035ceb5869fda2baecf09b833e02877a11f6444a.png"/>
<Relationship Id="rId12" Type="http://schemas.openxmlformats.org/officeDocument/2006/relationships/image" Target="media/18d7fe599f2e1350dd63e7f85daf5d3c1eac9cc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phrp</cp:lastModifiedBy>
  <cp:revision>9</cp:revision>
  <dcterms:created xsi:type="dcterms:W3CDTF">2017-02-28T11:18:00Z</dcterms:created>
  <dcterms:modified xsi:type="dcterms:W3CDTF">2026-06-09T15:14:52Z</dcterms:modified>
  <cp:category/>
</cp:coreProperties>
</file>