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240"/>
        <w:pBdr>
          <w:bottom w:val="single" w:sz="18" w:color="087E8B" w:space="10"/>
        </w:pBdr>
      </w:pPr>
      <w:r>
        <w:rPr>
          <w:rFonts w:ascii="Noto Sans SC" w:hAnsi="Noto Sans SC" w:eastAsia="Noto Sans SC" w:cs="Noto Sans SC"/>
          <w:b/>
          <w:i w:val="0"/>
          <w:color w:val="087E8B"/>
          <w:sz w:val="19"/>
        </w:rPr>
        <w:t>STRATEGY BRIEF · 2026</w:t>
      </w:r>
    </w:p>
    <w:p>
      <w:pPr>
        <w:keepNext w:val="0"/>
        <w:keepLines/>
        <w:spacing w:before="400" w:after="280" w:line="23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60"/>
        </w:rPr>
        <w:t>AI 原生时代的</w:t>
        <w:br/>
        <w:t>Merchant of Record</w:t>
      </w:r>
    </w:p>
    <w:p>
      <w:pPr>
        <w:spacing w:after="560" w:line="254" w:lineRule="auto"/>
      </w:pPr>
      <w:r>
        <w:rPr>
          <w:rFonts w:ascii="Noto Sans SC" w:hAnsi="Noto Sans SC" w:eastAsia="Noto Sans SC" w:cs="Noto Sans SC"/>
          <w:b/>
          <w:i w:val="0"/>
          <w:color w:val="2E74B5"/>
          <w:sz w:val="31"/>
        </w:rPr>
        <w:t>从人类结账，到 Agentic Commerce 的责任操作系统</w:t>
      </w:r>
    </w:p>
    <w:p>
      <w:pPr>
        <w:spacing w:after="140"/>
      </w:pPr>
      <w:r>
        <w:rPr>
          <w:rFonts w:ascii="Noto Sans SC" w:hAnsi="Noto Sans SC" w:eastAsia="Noto Sans SC" w:cs="Noto Sans SC"/>
          <w:b w:val="0"/>
          <w:i w:val="0"/>
          <w:color w:val="52616B"/>
          <w:sz w:val="23"/>
        </w:rPr>
        <w:t>Agent 作为原生交易接口 · Agent-to-Agent 商业协议 · AI 服务计费与结算</w:t>
      </w:r>
    </w:p>
    <w:p>
      <w:pPr>
        <w:spacing w:before="1440" w:after="120"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全球产品与市场战略｜2026–2030</w:t>
      </w:r>
    </w:p>
    <w:p>
      <w:r>
        <w:rPr>
          <w:rFonts w:ascii="Noto Sans SC" w:hAnsi="Noto Sans SC" w:eastAsia="Noto Sans SC" w:cs="Noto Sans SC"/>
          <w:b w:val="0"/>
          <w:i w:val="0"/>
          <w:color w:val="52616B"/>
          <w:sz w:val="18"/>
        </w:rPr>
        <w:t>版本 1.0 · 资料截至 2026-07-11 · 供创始团队、投资与产品决策讨论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keepLines w:val="0"/>
        <w:pageBreakBefore w:val="0"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EXECUTIVE SUMMARY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结论先行</w:t>
      </w:r>
    </w:p>
    <w:p>
      <w:pPr>
        <w:spacing w:before="100" w:after="200" w:line="264" w:lineRule="auto"/>
        <w:shd w:fill="E8F5F5"/>
        <w:keepNext w:val="0"/>
        <w:keepLines/>
        <w:pBdr>
          <w:left w:val="single" w:sz="18" w:space="8" w:color="087E8B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一句话定义  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AI-native MoR 是一层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跨协议的法律与商业责任系统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：把“已验证委托人 → 可撤销授权 → Agent 行动 → 可验证交付 → 动态计量 → 多轨结算”，转换为一笔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可计税、可开票、可退款、可分账、可追责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的法律销售。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它不是“替 AI SaaS 收信用卡”，也不是“给 Agent 一张卡”。真正变化在于：交易的发现、选择、议价、调用、验收与退款都可能由软件完成；但法律买方、税务归属与最终责任仍需落到人或企业。</w:t>
      </w:r>
    </w:p>
    <w:p>
      <w:pPr>
        <w:keepNext w:val="0"/>
        <w:keepLines/>
        <w:numPr>
          <w:ilvl w:val="0"/>
          <w:numId w:val="12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Agent 是原生交易接口，不是独立法律人格。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首期应把 Agent 视为经验证 principal 的受限执行者；合同、税务所在地与消费者/企业权利仍绑定自然人或组织。</w:t>
      </w:r>
    </w:p>
    <w:p>
      <w:pPr>
        <w:keepNext w:val="0"/>
        <w:keepLines/>
        <w:numPr>
          <w:ilvl w:val="0"/>
          <w:numId w:val="12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市场缺口是责任平面，不是新支付轨道。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MCP/A2A、ACP/UCP、AP2/TAP/Agent Pay、x402/MPP 已分别覆盖连接、商业语义、授权与付款，但没有自动承担法律卖方、税务、退款和争议责任。</w:t>
      </w:r>
    </w:p>
    <w:p>
      <w:pPr>
        <w:keepNext w:val="0"/>
        <w:keepLines/>
        <w:numPr>
          <w:ilvl w:val="0"/>
          <w:numId w:val="12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核心商品应从 SKU 变为 Task Envelope。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机器可执行报价必须同时携带能力、计费单位、预算上限、SLA、成功条件、证据格式、到期日、退款规则与可接受支付轨道。</w:t>
      </w:r>
    </w:p>
    <w:p>
      <w:pPr>
        <w:keepNext w:val="0"/>
        <w:keepLines/>
        <w:numPr>
          <w:ilvl w:val="0"/>
          <w:numId w:val="12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产品必须维护三本账。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原始使用/交付证据、客户商业价格、真实资金移动必须解耦，否则无法处理 credits、outcome、里程碑、多 Agent 分账和微交易净额结算。</w:t>
      </w:r>
    </w:p>
    <w:p>
      <w:pPr>
        <w:keepNext w:val="0"/>
        <w:keepLines/>
        <w:numPr>
          <w:ilvl w:val="0"/>
          <w:numId w:val="12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默认定价应是混合式。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推荐“订阅/席位 + 池化 credits + 透明超额 + 可选 outcome fee”；低额 A2A 调用在内部实时记账，达到阈值后聚合结算。</w:t>
      </w:r>
    </w:p>
    <w:p>
      <w:pPr>
        <w:keepNext w:val="0"/>
        <w:keepLines/>
        <w:numPr>
          <w:ilvl w:val="0"/>
          <w:numId w:val="12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最佳切入点是 B2B 自主采购。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先服务经 KYB 企业的采购 Agent，购买 API、模型推理、数据与云计算；首期排除实物、消费者开放钱包和主观验收任务。</w:t>
      </w:r>
    </w:p>
    <w:p>
      <w:pPr>
        <w:spacing w:before="100" w:after="200" w:line="264" w:lineRule="auto"/>
        <w:shd w:fill="FFF3E8"/>
        <w:keepNext w:val="0"/>
        <w:keepLines/>
        <w:pBdr>
          <w:left w:val="single" w:sz="18" w:space="8" w:color="E97724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9C4A00"/>
          <w:sz w:val="18"/>
        </w:rPr>
        <w:t xml:space="preserve">战略建议  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 xml:space="preserve">以 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“AI Services MoR + Agent Spend Control”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 xml:space="preserve"> 为楔子：先成为低风险数字服务的法律卖方，并提供 principal/agent 授权、预算、用量与证据控制；不要从开放钱包、全品类 marketplace 或自建支付轨道起步。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01 · MARKET SHIFT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从人类结账到机器委托：现有 MoR 为什么不够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上一份报告中的通用数字 MoR、创作者平台、游戏/App DTC 与跨境实体商户方案，核心工作流仍是“人看页面 → 人选择套餐/SKU → 人点击支付 → 系统按月结算”。AI 原生交易把</w:t>
      </w:r>
      <w:r>
        <w:rPr>
          <w:rFonts w:ascii="Noto Sans SC" w:hAnsi="Noto Sans SC" w:eastAsia="Noto Sans SC" w:cs="Noto Sans SC"/>
          <w:b/>
          <w:i w:val="0"/>
          <w:color w:val="102A43"/>
          <w:sz w:val="22"/>
        </w:rPr>
        <w:t>交互主体</w:t>
      </w: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和</w:t>
      </w:r>
      <w:r>
        <w:rPr>
          <w:rFonts w:ascii="Noto Sans SC" w:hAnsi="Noto Sans SC" w:eastAsia="Noto Sans SC" w:cs="Noto Sans SC"/>
          <w:b/>
          <w:i w:val="0"/>
          <w:color w:val="102A43"/>
          <w:sz w:val="22"/>
        </w:rPr>
        <w:t>计费对象</w:t>
      </w: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同时改变了。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3500"/>
        <w:gridCol w:w="43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7"/>
              </w:rPr>
              <w:t>Human-first MoR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7"/>
              </w:rPr>
              <w:t>AI-native MoR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买方身份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账户、邮箱、支付工具持有人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principal + Agent Provider + Agent 实例 + delegation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购买对象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静态 SKU、席位、订阅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动态能力、一次任务、session、outcome 或多 Agent 服务包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购买动作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点击 checkout / 确认订单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发现 → 报价 → mandate → reserve → 自动执行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价格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页面价、月费、简单用量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token / cache / compute / tool / task / outcome 的复合 rate card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授权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登录、3DS、一次支付同意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商户/类别/金额/时间/频率/订阅范围的细粒度可撤销授权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交付证据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下载、登录、物流或人工验收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签名 task、usage event、结果/制品哈希、SLA 与 acceptance receipt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风险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盗卡、账户接管、友好欺诈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Agent 冒充、prompt injection、无限循环、重复调用、关联方洗量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售后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退款工单、卡组织拒付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机器退款 API、部分退款、clawback、稳定币回退与跨 Agent 责任分摊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接口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Hosted checkout、SDK、Webhooks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MCP/A2A/ACP/UCP/AP2 适配 + x402/MPP/卡/银行/稳定币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四个结构性变化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交易频率从“月/单”升到“秒/事件”。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一次 Agent run 可触发模型、搜索、浏览器、消息、数据和子 Agent 数十至数千个事件。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价格从确定 SKU 变为概率区间。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最终成本取决于上下文长度、缓存命中、重试、工具链、运行时与成功率，必须先给预算边界，再按证据结算。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供应链从一层卖家变为有向图。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编排 Agent 可能采购多个模型、工具和专业 Agent；费用、收入和责任都需要沿 workflow DAG 归因。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争议从“是否购买”扩展到“是否完成”。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outcome 和主观质量不能只由另一个 LLM 判定，必须在报价前合同化成功标准、观察期和补救措施。</w:t>
      </w:r>
    </w:p>
    <w:p>
      <w:pPr>
        <w:spacing w:before="100" w:after="200" w:line="264" w:lineRule="auto"/>
        <w:shd w:fill="E8F5F5"/>
        <w:keepNext w:val="0"/>
        <w:keepLines/>
        <w:pBdr>
          <w:left w:val="single" w:sz="18" w:space="8" w:color="087E8B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产品判断  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 xml:space="preserve">现有 MoR 的 checkout、税务和订阅能力仍是地基，但 AI-native MoR 的差异化在 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principal-agent 授权、任务级计量、交付证明、可逆分账与 Agent 特有风险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02 · PROTOCOL STACK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协议已经让机器“能交易”，但没有完成责任闭环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400003"/>
            <wp:docPr id="1" name="Picture 1" title="Agentic commerce 协议栈" descr="展示委托人与 Agent、连接协作、商业语义、授权可信、支付轨道，以及横跨各层的 AI-native MoR 责任平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0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1｜协议负责连接、表达、授权与付款；AI-native MoR 负责把它们收束成一笔法律交易。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协议层最重要的尽调结论是：</w:t>
      </w:r>
      <w:r>
        <w:rPr>
          <w:rFonts w:ascii="Noto Sans SC" w:hAnsi="Noto Sans SC" w:eastAsia="Noto Sans SC" w:cs="Noto Sans SC"/>
          <w:b/>
          <w:i w:val="0"/>
          <w:color w:val="102A43"/>
          <w:sz w:val="22"/>
        </w:rPr>
        <w:t>通信成功 ≠ 购买授权；支付成功 ≠ 法律销售完成；payee ≠ MoR。</w:t>
      </w: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 xml:space="preserve"> 例如 UCP 明确保留 Business 作为 Merchant of Record 和财务责任方；Stripe Agentic Commerce 与 Stripe Managed Payments 也是两条不同责任路径。[S5][S9][S27][S28]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050"/>
        <w:gridCol w:w="1900"/>
        <w:gridCol w:w="2700"/>
        <w:gridCol w:w="37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代表标准/产品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解决的问题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MoR 仍需补齐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工具连接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MCP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访问工具、API、数据与工作流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商品、报价、付款授权、税、退款和法律卖方语义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协作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A2A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能力发现、消息、任务、制品、异步委派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交易条款、人类/企业意图、支付与责任归属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商业语义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ACP / UCP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目录、购物车、checkout、订单和售后事件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商户仍承担 MoR、税务、履约与消费者责任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授权/信任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AP2 / SPT / TAP / Agent Pay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限定商户/金额/时效的授权凭证与 Agent 识别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真实商品、交付、退款、KYB/KYC、税和争议裁决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机器支付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x402 / MPP / AP4M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逐请求、session、高频低额和多轨结算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法币计价、发票、净额结算、退款与不可逆支付风险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计费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Stripe Billing / Metronome / Orb / OpenMeter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事件聚合、rate card、credits、commit、invoice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principal-agent 归因、mandate、交付证据和法律卖方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传统 MoR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Paddle / FastSpring / Polar / Dodo / Creem 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全球付款、税务、退款、订阅与卖家结算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原生身份、授权、A2A 报价和任务证据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一套内部账本，多套外部适配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产品不应押注单一协议。北向同时支持 MCP/A2A/ACP/UCP，南向对接 SPT、卡、银行、x402、MPP、稳定币与卡组织 Agent credential；内部只保留一套 canonical commerce graph。每笔交易都要能回答：谁授权、哪个 Agent 执行、买了什么、按什么价格、交付了什么、钱去了哪里、由谁承担售后。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8"/>
        </w:rPr>
        <w:t>Canonical transaction graph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70" w:right="17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6"/>
        </w:rPr>
        <w:t>principal → agent_provider → agent_instance → delegation</w:t>
        <w:br/>
        <w:t>→ quote → task/run → usage/evidence → rating</w:t>
        <w:br/>
        <w:t>→ reserve/charge → tax/invoice → split/payout → refund/dispute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03 · ECONOMIC ACTORS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Agent 是“原生用户”，但 principal 才是经济与法律主体</w:t>
      </w:r>
    </w:p>
    <w:p>
      <w:pPr>
        <w:spacing w:before="100" w:after="200" w:line="264" w:lineRule="auto"/>
        <w:shd w:fill="FFF3E8"/>
        <w:keepNext w:val="0"/>
        <w:keepLines/>
        <w:pBdr>
          <w:left w:val="single" w:sz="18" w:space="8" w:color="E97724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9C4A00"/>
          <w:sz w:val="18"/>
        </w:rPr>
        <w:t xml:space="preserve">核心原则  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不要让 Agent “假装成人”。产品展示与数据模型必须同时保留：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法律买方 principal、技术执行者 Agent 实例、法律卖方 MoR、实际服务供应商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。KYA 只能补充 KYC/KYB，不能替代它。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50"/>
        <w:gridCol w:w="2100"/>
        <w:gridCol w:w="3700"/>
        <w:gridCol w:w="211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角色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是谁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MoR 必须知道什么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首期策略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经济委托人 Principal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自然人或企业预算所有者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KYC/KYB、税务身份、受益所有人、所在地、支付与撤销权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优先已 KYB 企业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买方 Agent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代表 principal 发现和购买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Provider、实例公钥、版本、权限、预算、委托链与风险级别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受限、可撤销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编排 Agent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将任务拆给模型、工具或子 Agent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run DAG、最大深度、供应商白名单、成本与责任归因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限制递归和跨域采购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卖方 Agent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发布能力、报价和交付结果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背后供应商实体、签名报价、服务条款、SLA、许可证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仅已 KYB 供应商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服务供应商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实际提供 API、数据、模型或计算的企业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产品分类、IP/数据权利、交付责任、结算账户与准备金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低风险数字服务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买方合同相对方与法律卖方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最终价格、税、发票、退款、拒付、供应商结算和证据保存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明确每条路径的责任模式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四层合同与五类 Mandate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完整责任链至少包含：供应商↔MoR 的转售协议、principal↔MoR 的买方条款、principal↔Agent/Provider 的委托授权、MoR↔Agent Provider/网络的身份与事故责任协议。AP2 的授权思路可以扩展为五类对象：[S6][S20][S21]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3000"/>
        <w:gridCol w:w="4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Mandate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作用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Intent / Open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在限定时间、类别、商户和总预算内寻找并采购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最大总额、单笔额、地区、频率、到期、人工确认阈值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Cart / Checkout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绑定最终供应商、line item、数量、税和交付条件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购物车哈希、价格偏差、币种、SLA、退款条款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Payment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绑定支付工具、收款方和确定金额/上限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动态绑定、nonce、有效期、可逆/不可逆轨道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Delivery / Acceptance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证明服务已交付、使用或满足客观结果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请求/制品哈希、版本、用量、时间戳、签名、观察期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Refund / Revocation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撤销后续采购、订阅或申请全部/部分退款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可取消范围、退款原因、资金原路/替代路径、clawback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首期明确排除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无明确责任主体的自治 Agent / DAO。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要求法律实体或责任赞助方，否则无法可靠处理税、制裁、争议和负余额。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面向消费者的开放式钱包。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储值、money transmission、预付卡、SCA 与撤回权会显著扩大牌照和资本要求。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高风险与实物品类。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旅游、金融、医疗、博彩、实体物流与关税/IOR 应有独立产品路径，不能沿用数字服务模型。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04 · TRANSACTION DESIGN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A2A 交易必须是可验证、可预算、可撤销的状态机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97880" cy="2585570"/>
            <wp:docPr id="2" name="Picture 2" title="AI-native MoR 交易生命周期" descr="从发现、报价、授权、预留、执行、计量、交付证明、定价、结算到税票与退款的十步状态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2｜原子 usage event 可以实时发生，但外部资金移动应按 task/session 聚合。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Discover｜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Agent 通过 MCP/A2A/UCP/ACP 发现能力、服务条款与支持的计费/支付方式。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Quote｜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卖方或 MoR 返回有有效期、带签名的结构化报价，包含预估区间与最大支出。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Mandate｜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Policy Engine 校验 principal、Agent 实例、类别、商户、金额、时间、频率与订阅权限。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Reserve｜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先预留预算/信用额度；高风险或长任务设置里程碑、准备金或人工 step-up。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Execute + Meter｜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记录模型、版本、token、cache、runtime、tool action、重试和父子 run。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Evidence + Accept｜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生成 DeliveryReceipt；按客观 schema/SLA 自动验收，主观例外转人工。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Rate｜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将原始使用映射到 rate card、credits、commit、折扣、outcome 和税前价。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Split + Settle｜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沿 workflow DAG 归集成本和收入，净额结算、保留 reserve，并支持 reversal。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Invoice + Tax｜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依据 principal 与底层供给分类开具人可读/机可读发票，保留地域证据。</w:t>
      </w:r>
    </w:p>
    <w:p>
      <w:pPr>
        <w:keepNext w:val="0"/>
        <w:keepLines/>
        <w:numPr>
          <w:ilvl w:val="0"/>
          <w:numId w:val="13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0"/>
        </w:rPr>
        <w:t>Refund + Dispute｜</w:t>
      </w:r>
      <w:r>
        <w:rPr>
          <w:rFonts w:ascii="Noto Sans SC" w:hAnsi="Noto Sans SC" w:eastAsia="Noto Sans SC" w:cs="Noto Sans SC"/>
          <w:b w:val="0"/>
          <w:i w:val="0"/>
          <w:color w:val="102A43"/>
          <w:sz w:val="20"/>
        </w:rPr>
        <w:t>自动处理重复、失败、未交付与部分交付；完整证据包支持卡/稳定币/合同争议。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Task Envelope：新的可计费商业对象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Token 是成本单位，不一定是客户愿意购买的价值单位。AI-native MoR 应把一次可预算、可验收的任务定义为 canonical billable object，并允许内部由多个 usage event 和子 Agent 构成。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8"/>
        </w:rPr>
        <w:t>Machine-readable Quote / Task Envelope（建议最小字段）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70" w:right="17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6"/>
        </w:rPr>
        <w:t>quote_id, seller_agent, capability, billing_unit, unit_price</w:t>
        <w:br/>
        <w:t>estimated_min, estimated_max, currency, tax_treatment</w:t>
        <w:br/>
        <w:t>SLA, success_schema, evidence_schema, refund_rule, expiry</w:t>
        <w:br/>
        <w:t>accepted_rails, required_mandate, max_spend, version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8"/>
        </w:rPr>
        <w:t>Usage Event（建议最小字段）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70" w:right="17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6"/>
        </w:rPr>
        <w:t>event_id, timestamp, principal_id, agent_id, delegation_id</w:t>
        <w:br/>
        <w:t>run_id, parent_run_id, provider, model_version, tool_id</w:t>
        <w:br/>
        <w:t>metric, quantity, cache_class, region, success_status</w:t>
        <w:br/>
        <w:t>outcome_id, quote_id, evidence_hash, idempotency_key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05 · PRICING &amp; BILLING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AI 与 Agent 服务应该如何计费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97880" cy="2123478"/>
            <wp:docPr id="3" name="Picture 3" title="AI-native MoR 三本账" descr="Usage Evidence、Commercial、Money 三个账本分别记录原始用量证据、商业合同价格和真实资金移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ledg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3｜三本账通过 quote_id、run_id、event_id 和 transaction_id 关联，但不能混成一张余额表。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三本账的职责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2800"/>
        <w:gridCol w:w="3060"/>
        <w:gridCol w:w="18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账本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记录什么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为什么必须独立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关键不变量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Usage Evidence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token、cache、runtime、工具、Agent step、结果与证据哈希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供应商成本和客户售价可能使用不同单位；争议需要回放原始事实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append-only；event 幂等；版本可追溯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Commercial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套餐、credits、commit、客户 rate card、折扣、outcome、税前价格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credits 与合同是客户体验层，不能抹掉底层 COGS 与履约事实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价格版本冻结；规则可解释；支持重算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Money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预授权、reserve、扣款、退款、分账、准备金、FX、payout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资金受支付轨道、结算周期、拒付和监管约束，不等于用量余额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复式/可审计；可逆分账；账实一致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计费模型矩阵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1450"/>
        <w:gridCol w:w="1750"/>
        <w:gridCol w:w="2000"/>
        <w:gridCol w:w="26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模型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适用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优势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主要问题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MoR 必需能力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Input / Output Token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模型 API、推理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接近底层成本；易自动化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预算难预测；模型不可比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provider/model/version/reasoning 分维度，支持上限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Cache Read/Write/Storage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长上下文、memory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传递优化收益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TTL、归属与跨 Agent 复用复杂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独立计量 read/write/storage、tenant、TTL 与命中证据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Compute / Session Time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coding、browser、sandbox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覆盖长运行成本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idle/running 边界；失控循环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heartbeat、暂停/终止、最大时长与 kill limit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Tool / Action Call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搜索、抓取、MCP、消息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客户易理解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失败、重试和副作用差异大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工具 rate card、幂等、成功/失败/重试语义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Internal Credits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多模型、多工具产品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统一销售单位、便于套餐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汇率不透明、到期/退款争议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paid/promo 分桶、优先级、汇率版本、退款估值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Subscription + Allowance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企业 Copilot/团队 Agent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采购简单、收入可预测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seat 与无人值守 Agent 消费脱钩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human seat、service account、agent entitlement 分离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1450"/>
        <w:gridCol w:w="1750"/>
        <w:gridCol w:w="2000"/>
        <w:gridCol w:w="26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模型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适用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优势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主要问题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MoR 必需能力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Outcome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客服解决、回款、部署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价值对齐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完成定义、延迟归因、作弊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Outcome Schema、观察期、证据、clawback、base+success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Milestone / Reserve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研究、代码、长任务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保护买卖双方，支持部分交付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主观验收；托管许可风险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reserve→work→accept→release/refund 状态机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 Micropayment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数据/API/tool call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无账户、机器可直接购买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税票、退款与逐笔成本不可持续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内部实时记账、阈值净额结算、税内价与退款通道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Revenue Share / Split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 Agent 编排与 marketplace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自动形成供应链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多跳归因、拒付分摊、负余额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DAG 分账、KYB、waterfall、reserve、reversal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Prepaid / Commit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企业年度 AI 合同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预算与收入可预测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闲置、收入确认、超额冲击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commit drawdown、期限、自动充值、overage、合同变更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推荐默认包装：Hybrid Task Pricing</w:t>
      </w:r>
    </w:p>
    <w:p>
      <w:pPr>
        <w:spacing w:before="100" w:after="200" w:line="264" w:lineRule="auto"/>
        <w:shd w:fill="EAF2F8"/>
        <w:keepNext w:val="0"/>
        <w:keepLines/>
        <w:pBdr>
          <w:left w:val="single" w:sz="18" w:space="8" w:color="2E74B5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18"/>
        </w:rPr>
        <w:t xml:space="preserve">默认商业模型  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平台订阅/席位 + 池化 credits + 透明用量超额 + 可选 outcome fee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。Task Envelope 先给预算上限，内部继续保留 token、cache、compute、tool 和子 Agent 成本；A2A 小额调用先扣内部余额，再按 session/日/月净额结算。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200"/>
        <w:gridCol w:w="2400"/>
        <w:gridCol w:w="2400"/>
        <w:gridCol w:w="23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交易形态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推荐计费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资金机制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关键控制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低额同步 API / MCP Tool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per-call / byte / token；可用 x402/MPP 表达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预付余额或 session channel，阈值净额结算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单次/日预算、幂等、税内价、失败不计费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长运行 Agent 任务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base + runtime/tool usage，设最大预算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reserve + metered burn + 未用额度释放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heartbeat、最大时长、异常停止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可客观验收的结果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base + outcome fee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reserve；观察期后释放；可 clawback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success schema、证据、归因窗口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阶段性交付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milestone price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分段 reserve / release / refund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超时、部分交付、人工争议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企业 A2A 采购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年度 commit + pooled credits + overage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信用额度、月结、PO/发票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Agent/workspace entitlement、预算责任人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多 Agent Marketplace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task price + revenue share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DAG waterfall、准备金、可逆分账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供应商 KYB、关联方与负余额管理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市场案例说明的方向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OpenAI / Anthropic / Gemini 已证明用量是多维的。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Input、cached input、output、工具、运行 session、存储和外部 grounding 都可能独立计费；单一“调用次数”不够。[S12][S13][S14]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GitHub Copilot / Salesforce 证明 credits 适合包装复杂成本。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但 credits 必须有实时钱包、rate card、余额提醒、有效期和超额规则，且能回溯原始单位。[S18][S19]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Intercom Fin 证明 outcome pricing 已商业化。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定义“已解决”、观察窗口、重复联系和 workflow 完成条件，是收费能否抗争议的前提。[S17]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Stripe + Metronome 证明 metering、rating、invoice 是不同层。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AI-native MoR 还需再增加 principal-agent 归因、授权链、交付证据和多 Agent split。[S15][S16]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微交易的单位经济学约束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不能把每个亚美分 tool call 都外部刷卡、开票和单独退款。固定支付成本、链上 gas、税务单据和对账成本会吞噬毛利。正确架构是“</w:t>
      </w:r>
      <w:r>
        <w:rPr>
          <w:rFonts w:ascii="Noto Sans SC" w:hAnsi="Noto Sans SC" w:eastAsia="Noto Sans SC" w:cs="Noto Sans SC"/>
          <w:b/>
          <w:i w:val="0"/>
          <w:color w:val="102A43"/>
          <w:sz w:val="22"/>
        </w:rPr>
        <w:t>原子事件实时记账，任务/session 聚合定价，账户/企业周期净额结算</w:t>
      </w: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”；只有需要即时权限转移或陌生对手方时才逐次结算。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费率也不应机械按底层 pass-through compute 总额抽成。更合理的是把收入拆为责任费、计量/账本费、收款与 FX、风险/准备金、托管/里程碑和增值合规；对薄毛利算力转售，可排除部分可验证 COGS 或改按事件/账户收费。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06 · PRODUCT ARCHITECTURE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AI-native MoR 的八个产品模块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350"/>
        <w:gridCol w:w="4300"/>
        <w:gridCol w:w="271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模块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核心能力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设计不变量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1. Principal &amp; Agent Identity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KYC/KYB、UBO、税务身份、Agent Provider/实例、公钥、版本、撤销与 KYA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任何交易都可回到责任主体；KYA 不替代 KYC/KYB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2. Mandate Policy Engine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商户/类别/地区/金额/频率/订阅/数据共享、人工 step-up、nonce 与动态绑定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LLM 只提出交易；确定性引擎才授权资金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3. Catalog &amp; Quote Gateway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MCP/A2A/ACP/UCP 适配、能力目录、含税报价、SLA、许可、退款与 expiry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可机器读取；MoR 独立重算税与最终价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4. Metering &amp; Rating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token/cache/runtime/tool/task/outcome、多维 rate card、credits、commit、overage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版本化、可重算、可解释，保留原始 usage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5. Reserve &amp; Payment Routing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卡/银行/SPT/x402/MPP/稳定币，reserve/commit/release，额度与净额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不自建新轨道；统一授权和可逆性策略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6. Delivery Attestation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task spec、结果/制品哈希、版本、usage、SLA、双方签名与接受事件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每笔结算都能映射到交付证据；敏感内容只存哈希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7. MoR Responsibility Core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法律卖方、税务分类、地域证据、发票、退款/拒付、供应商分账与报告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明确每个 product path 的责任模式和实体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8. Risk, Dispute &amp; Observability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调用图、prompt/tool provenance、velocity、循环检测、replay、reserve、case management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loop 是 denial-of-wallet；分账必须可 reversal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Northbound 与 Southbound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2900"/>
        <w:gridCol w:w="46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方向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接口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MoR 暴露/消费的能力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Northbound：面向 Agent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MCP tools、A2A tasks、UCP/ACP endpoints、REST/SDK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discover、quote、mandate.validate、reserve、usage.report、receipt、invoice.get、refund.request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Southbound：面向支付与网络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PSP、卡/银行、SPT、TAP、Agent Pay、x402、MPP、稳定币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credential、risk signal、authorize、capture、settle、refund、chargeback、payout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Internal：统一控制面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Commerce graph + three ledgers + policy engine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identity、task、usage、evidence、tax、money、dispute 的一致 transaction ID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决定性架构原则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先授权后调用。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任何产生外部成本或副作用的 tool call，都必须在执行前检查 entitlement、预算与 mandate。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Reserve / Commit / Release。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不要把“开始执行”直接等同于不可逆扣款；失败、超时和未用预算要能自动释放。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原子幂等，图级归因。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event_id、quote_id、cart hash 和 idempotency key 防重复；run_id/parent_run_id 形成成本与分账 DAG。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支付凭据不进入 Prompt。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 只能获得范围受限、短期、sender-constrained 的 token；自由文本永不成为收款地址或支付授权。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双视图收据。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机器需要结构化 receipt，财务/法务/用户需要人可读发票与证据摘要，两者共享同一哈希链。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07 · RISK &amp; RESPONSIBILITY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Agent 时代的风险，不只是“盗卡率”</w:t>
      </w:r>
    </w:p>
    <w:p>
      <w:pPr>
        <w:spacing w:before="100" w:after="200" w:line="264" w:lineRule="auto"/>
        <w:shd w:fill="FDECEC"/>
        <w:keepNext w:val="0"/>
        <w:keepLines/>
        <w:pBdr>
          <w:left w:val="single" w:sz="18" w:space="8" w:color="B42318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B42318"/>
          <w:sz w:val="18"/>
        </w:rPr>
        <w:t xml:space="preserve">总原则  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LLM 只能提出交易，确定性 Policy Engine 才能授权资金。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 xml:space="preserve"> 高价值、不可逆、首次对手方、订阅或越过风险阈值的交易，必须触发人工/SCA step-up。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3000"/>
        <w:gridCol w:w="4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典型失败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必须控制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Prompt Injection / 恶意目录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页面或 A2A 消息诱导 Agent 改收款方、泄露凭据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指令/数据隔离、schema allowlist、支付字段禁止由自由文本直出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冒充 / 密钥失窃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伪造 Provider、实例或授权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短期 PoP key、HTTP signature/mTLS、实例注册、吊销、设备/运行证明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无限循环 / Denial-of-wallet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递归采购、重试风暴、A↔B 循环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run 级预算/时长/深度/次数上限、图循环检测、velocity、全局 kill switch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重复与并发双花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同一 mandate/cart 多次消费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reserve/commit/release、nonce、cart hash、idempotency、串行消费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价格/购物车篡改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报价后替换金额、币种、收款方或条款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签名报价、MoR 重算、金额与 payee 动态绑定、价格偏差阈值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虚假交付 / Outcome 作弊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无交付、部分交付、伪造成功、归因抢占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DeliveryReceipt、客观 success schema、观察期、第三方 verifier、clawback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自买自卖 / 串谋洗量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关联 Agent 互刷、套取奖励或洗钱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principal/UBO 关系图、关联方检测、新对手方 hold、滚动准备金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数据与 IP 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敏感 prompt、输出、训练/许可权不清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最小披露、内容哈希、加密封存、供应商权利保证、区域/用途政策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税务错分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Agent 服务器/钱包而非 principal 与供给判断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line-item 分类、B2B 税号、消费地证据、法币价与汇率快照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不可逆轨道退款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稳定币/x402 已结算但服务失败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refund reserve、可验证退款地址、内部净额、陌生卖家 hold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交付与争议标准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DeliveryReceipt 至少应绑定 mandate、订单、支付与任务 ID，记录请求/制品哈希、模型/工具版本、时间戳、资源量、SLA、成功状态、错误码与买方接受事件。敏感内容只保存哈希，原始材料加密封存。签名授权和交付证据可显著改善争议质量，但不会自动排除消费者法、退款权或卡组织规则。[S6][S22]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争议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自动动作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关键证据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未授权/越权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冻结 Agent key 和后续支付，暂停供应商结算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 mandate、撤销时间、实例公钥、step-up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重复/失控循环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重复项自动退款并停止 run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idempotency、cart hash、调用 DAG、reserve 日志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未交付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超时 release/refund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请求、错误日志、DeliveryReceipt 缺失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部分交付/SLA 不符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按计量部分退款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usage、里程碑、SLA 和接受事件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质量/Outcome 争议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规则引擎先调解，例外转人工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Task Envelope、客观 schema、观察期、加密证据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自动续费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核验独立续费 mandate，支持一键撤销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订阅授权、提醒、取消时间与最后一次使用</w:t>
            </w:r>
          </w:p>
        </w:tc>
      </w:tr>
    </w:tbl>
    <w:p>
      <w:pPr>
        <w:spacing w:after="6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08 · MARKET POSITION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市场定位：Autonomous Digital Work 的 MoR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上一份 20 家格局显示，传统 MoR 的强项是实体、税务和全球支付；AI/开发者友好 MoR 的强项是 API、credits 与快速接入；Agentic payment 新玩家的强项是身份、钱包、policy 与机器结算。真正尚未被完整占领的是：</w:t>
      </w:r>
      <w:r>
        <w:rPr>
          <w:rFonts w:ascii="Noto Sans SC" w:hAnsi="Noto Sans SC" w:eastAsia="Noto Sans SC" w:cs="Noto Sans SC"/>
          <w:b/>
          <w:i w:val="0"/>
          <w:color w:val="102A43"/>
          <w:sz w:val="22"/>
        </w:rPr>
        <w:t>把 principal-agent 授权与可验证交付，和 MoR 的法律、税务、退款与供应商结算合并。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2050"/>
        <w:gridCol w:w="2550"/>
        <w:gridCol w:w="30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阵营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代表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已经解决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仍留下的空白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通用数字 MoR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Paddle、FastSpring、Lemon Squeezy、PayPro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全球支付、税、订阅、退款/拒付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人类 checkout 假设；缺 Agent 实例、mandate 和 A2A 证据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AI/开发者友好 MoR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Polar、Dodo、Creem、Fungies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API-first、usage/credits、开发者上手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服务 AI 卖家 ≠ Agent 作为买方；缺 principal-agent 权限链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Agentic Commerce/网络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Stripe ACS、AP2、Visa、Mastercard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目录、授权 token、Agent 识别与网络信号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并不自动成为 MoR；责任仍由商户或独立 Managed Payments 承担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机器支付协议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x402、MPP、AP4M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逐请求/session、高频低额、多轨付款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税、发票、退款、履约证据与供应商责任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计费/支付创业公司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Nevermined、Skyfire、Sapiom、Catena、InFlow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metering、KYA、钱包、spend policy、结算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需逐路径证明法律卖方、全球税务与消费者/争议责任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拟议 AI-native MoR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本报告产品定义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跨协议责任平面 + 三本账 + 交付证据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执行难点在牌照/实体、税务、准备金、争议运营与协议碎片化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推荐价值主张</w:t>
      </w:r>
    </w:p>
    <w:p>
      <w:pPr>
        <w:spacing w:before="100" w:after="200" w:line="264" w:lineRule="auto"/>
        <w:shd w:fill="E8F5F5"/>
        <w:keepNext w:val="0"/>
        <w:keepLines/>
        <w:pBdr>
          <w:left w:val="single" w:sz="18" w:space="8" w:color="087E8B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POSITIONING  </w:t>
      </w:r>
      <w:r>
        <w:rPr>
          <w:rFonts w:ascii="Noto Sans SC" w:hAnsi="Noto Sans SC" w:eastAsia="Noto Sans SC" w:cs="Noto Sans SC"/>
          <w:b/>
          <w:i w:val="0"/>
          <w:color w:val="102A43"/>
          <w:sz w:val="23"/>
        </w:rPr>
        <w:t>The Merchant of Record for autonomous digital work.</w:t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</w:r>
      <w:r>
        <w:br/>
      </w:r>
      <w:r>
        <w:rPr>
          <w:rFonts w:ascii="Noto Sans SC" w:hAnsi="Noto Sans SC" w:eastAsia="Noto Sans SC" w:cs="Noto Sans SC"/>
          <w:b w:val="0"/>
          <w:i w:val="0"/>
          <w:color w:val="102A43"/>
          <w:sz w:val="23"/>
        </w:rPr>
        <w:t>让任何经授权的企业 Agent，都能跨模型、工具、数据和专业 Agent 购买服务；让每次交易都有确定的法律卖方、预算边界、交付证据、税票与退款路径。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首批 ICP 与优先顺序</w:t>
      </w:r>
    </w:p>
    <w:p>
      <w:pPr>
        <w:keepNext w:val="0"/>
        <w:keepLines/>
        <w:numPr>
          <w:ilvl w:val="0"/>
          <w:numId w:val="14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Agent 平台与企业采购 Agent｜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有明确预算 owner，正在管理大量 vendor account、API key 和人工报销。</w:t>
      </w:r>
    </w:p>
    <w:p>
      <w:pPr>
        <w:keepNext w:val="0"/>
        <w:keepLines/>
        <w:numPr>
          <w:ilvl w:val="0"/>
          <w:numId w:val="14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MCP/A2A 工具、数据和算力卖家｜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高频低额、交付可客观计量，最需要“向合格 Agent 一次接入全球销售”。</w:t>
      </w:r>
    </w:p>
    <w:p>
      <w:pPr>
        <w:keepNext w:val="0"/>
        <w:keepLines/>
        <w:numPr>
          <w:ilvl w:val="0"/>
          <w:numId w:val="14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AI SaaS / coding / operations 平台｜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已采用 credits/usage，但缺 principal-agent entitlement、commit 和跨供应商 COGS 归因。</w:t>
      </w:r>
    </w:p>
    <w:p>
      <w:pPr>
        <w:keepNext w:val="0"/>
        <w:keepLines/>
        <w:numPr>
          <w:ilvl w:val="0"/>
          <w:numId w:val="14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Agent marketplace / orchestration platform｜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需要多方 KYB、DAG split、reserve、退款与负余额控制。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不应成为首个产品的三件事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不是新卡或新钱包。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授权和资金账户可以与网络/PSP 合作；真正差异化是责任图、计量、证据和售后。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不是全品类 Agent Marketplace。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先固定低风险数字服务和企业主体，才能校准税务、损失率、准备金和争议成本。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不是协议专用网关。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协议会演进；内部 canonical ledger 和确定性政策引擎比押注某个 wire format 更耐久。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09 · BUSINESS MODEL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商业模式：把“责任”与“基础设施”分开定价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建议保留两个明确 SKU，避免责任角色混淆：Trust Gateway 中供应商仍是 MoR；Full Agent MoR 中本公司才是法律卖方。任何页面和合同都应明确 transaction-by-transaction 的责任模式。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100"/>
        <w:gridCol w:w="2500"/>
        <w:gridCol w:w="2800"/>
        <w:gridCol w:w="19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SKU / 收入线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收费基数（建议）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客户买到什么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Trust Gateway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平台订阅 + 活跃 Agent/授权调用 + 风控增值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身份、mandate、预算、策略、证据；商户仍是 MoR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不能在该路径宣称承担税务/退款责任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Full Agent MoR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责任费按净商业收入或 GMV 分层；假设区间约 2%–5%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法律卖方、税、发票、退款/拒付、供应商结算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费率是战略假设，需按品类/国家/损失率验证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Metering &amp; Ledger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事件量、活跃 task、数据保留/重算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三本账、credits、commit、rate card、成本归因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高频微事件需极低单位成本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Payment / FX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实际成本 pass-through + 明示加点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多轨收款、兑换、结算与对账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固定费不能逐 microcall 叠加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Risk / Reserve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风险分层、准备金、加急结算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新供应商 hold、负余额与损失覆盖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与真实损失率和证据质量动态联动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Milestone / Outcome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托管/里程碑/成功费增值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reserve、acceptance、部分释放、clawback 与仲裁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先评估 escrow / money transmission 许可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单位经济学公式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8"/>
        </w:rPr>
        <w:t>应按责任与运营成本建模，而不是只看支付 take rate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70" w:right="17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6"/>
        </w:rPr>
        <w:t>Net Revenue = Responsibility Fee + Metering/Policy Fee + FX/Risk Add-ons</w:t>
        <w:br/>
        <w:t xml:space="preserve">             − PSP/Rail Cost − Tax Ops − Fraud/Refund Loss</w:t>
        <w:br/>
        <w:t xml:space="preserve">             − Seller Reserve Cost − Dispute Ops − Infrastructure COGS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对低毛利算力和模型 pass-through，不宜对全部 COGS 机械抽成。可以按“商户毛利/平台收入 + 风险责任”计费，或对可验证 pass-through 成本使用较低费率，再按事件、账户和结算量收费。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North Star 指标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授权质量｜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Mandate validation success、step-up 率、越权阻断率、撤销生效延迟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商业规模｜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Gross Task Value、活跃 principal / Agent / seller、跨卖家复购、NRR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计费质量｜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usage→invoice 完整率、rating 重算差异、credits leakage、成本归因覆盖率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风险损失｜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未授权/重复/未交付率、退款/拒付率、净损失率、reserve coverage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运营效率｜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每百万 usage event 成本、税务异常率、自动退款率、争议人工分钟/单</w:t>
      </w:r>
    </w:p>
    <w:p>
      <w:pPr>
        <w:keepNext w:val="0"/>
        <w:keepLines/>
        <w:numPr>
          <w:ilvl w:val="0"/>
          <w:numId w:val="10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平台效应｜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每个 task 的供应商数、DAG split 自动化率、可验证 DeliveryReceipt 覆盖率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10 · ROADMAP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0–24 个月产品路线图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2600"/>
        <w:gridCol w:w="3300"/>
        <w:gridCol w:w="19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阶段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商业目标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核心能力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阶段闸门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0–3 个月</w:t>
            </w:r>
            <w:r>
              <w:br/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Design Partners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锁定 5–10 家 B2B API/Agent 平台；确定法律转售范围与税务分类；跑通 human-approved 单笔购买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Principal/Agent schema、签名 quote、closed mandate、usage ingestion、PSP sandbox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每笔交易可回答 7 个问题；无混淆的 MoR 合同路径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3–6 个月</w:t>
            </w:r>
            <w:r>
              <w:br/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Trust Gateway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企业 Agent 在有限目录内自动采购；商户仍可作为 MoR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KYB、Agent register/revoke、policy engine、budget reserve、DeliveryReceipt、自动失败退款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无未授权资金移动；重复/失败自动化率 &gt;90%（内部目标）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6–12 个月</w:t>
            </w:r>
            <w:r>
              <w:br/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Full B2B Agent MoR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成为低风险数字服务法律卖方；上线税务发票和 seller payout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 + AP2 + UCP/ACP adapters、三本账、credits/commit、tax、reserve、dispute API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 3+ 地区/币种闭环；usage→invoice 可审计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12–18 个月</w:t>
            </w:r>
            <w:r>
              <w:br/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Controlled Autonomy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Open Mandate、任务级预算、跨供应商采购和多方分账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x402/MPP、session netting、DAG split、关联方检测、stablecoin refund reserve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微交易单位成本达标；多方 reversal 可执行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18–24 个月</w:t>
            </w:r>
            <w:r>
              <w:br/>
            </w: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Outcome &amp; Consumer Pilot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客观 outcome/里程碑；受控 B2C 订阅与 Agent shopping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Outcome Schema、观察期/clawback、SCA/3DS、续费 mandate、消费者退款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限定品类损失率可承受；人工争议成本可量化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MVP 功能与排除清单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MVP 必须有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MVP 明确不做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买卖双方 KYB、UBO 与制裁筛查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无法律实体的自治 Agent / DAO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实例注册、公钥、短期凭据和即时撤销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消费者开放钱包、可转让 credits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Intent/Cart/Payment Mandate 与确定性 Policy Engine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实物、旅游、医疗、金融、博彩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签名 Quote / Task Envelope、预算 reserve 和幂等状态机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无上限 Open Mandate 与无限递归采购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token/call/session/credit/commit 的三本账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首期主观创意成果与长周期人类服务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数字服务税务分类、发票、失败/重复自动退款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自建卡网、稳定币或全新支付协议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DeliveryReceipt、证据哈希与人工风险/争议后台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未经牌照评估的 escrow / stored value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未来 90 天建议</w:t>
      </w:r>
    </w:p>
    <w:p>
      <w:pPr>
        <w:keepNext w:val="0"/>
        <w:keepLines/>
        <w:numPr>
          <w:ilvl w:val="0"/>
          <w:numId w:val="15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选楔子｜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只选 API/模型/数据/计算四类中的 1–2 类，签下 5 个设计合作方，获得真实 usage、退款和采购流程。</w:t>
      </w:r>
    </w:p>
    <w:p>
      <w:pPr>
        <w:keepNext w:val="0"/>
        <w:keepLines/>
        <w:numPr>
          <w:ilvl w:val="0"/>
          <w:numId w:val="15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冻结责任模型｜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逐 product path 画出 legal seller、PSP merchant、payee、supplier、refund owner 与 tax registrant；任何一项不清楚就不叫 MoR。</w:t>
      </w:r>
    </w:p>
    <w:p>
      <w:pPr>
        <w:keepNext w:val="0"/>
        <w:keepLines/>
        <w:numPr>
          <w:ilvl w:val="0"/>
          <w:numId w:val="15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先建 canonical graph 和三本账｜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协议适配可以替换，transaction graph、idempotency、price version 与 evidence lineage 不能后补。</w:t>
      </w:r>
    </w:p>
    <w:p>
      <w:pPr>
        <w:keepNext w:val="0"/>
        <w:keepLines/>
        <w:numPr>
          <w:ilvl w:val="0"/>
          <w:numId w:val="15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跑 shadow billing｜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先不扣款，连续 30 天比较供应商原始用量、内部 rating、客户可解释账单和 COGS，校准 event 成本与毛利。</w:t>
      </w:r>
    </w:p>
    <w:p>
      <w:pPr>
        <w:keepNext w:val="0"/>
        <w:keepLines/>
        <w:numPr>
          <w:ilvl w:val="0"/>
          <w:numId w:val="15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红队 Agent 支付｜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测试 prompt injection、递归采购、密钥泄露、重复 cart、价格篡改、稳定币退款和 seller 负余额。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11 · FINAL RECOMMENDATION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最终判断：值得做，但必须从“责任”而不是“付款”定义产品</w:t>
      </w:r>
    </w:p>
    <w:p>
      <w:pPr>
        <w:spacing w:before="100" w:after="200" w:line="264" w:lineRule="auto"/>
        <w:shd w:fill="EAF2F8"/>
        <w:keepNext w:val="0"/>
        <w:keepLines/>
        <w:pBdr>
          <w:left w:val="single" w:sz="18" w:space="8" w:color="2E74B5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18"/>
        </w:rPr>
        <w:t xml:space="preserve">NORTH STAR  </w:t>
      </w:r>
      <w:r>
        <w:rPr>
          <w:rFonts w:ascii="Noto Sans SC" w:hAnsi="Noto Sans SC" w:eastAsia="Noto Sans SC" w:cs="Noto Sans SC"/>
          <w:b w:val="0"/>
          <w:i w:val="0"/>
          <w:color w:val="102A43"/>
          <w:sz w:val="24"/>
        </w:rPr>
        <w:t>当任一 Agent 发起交易时，系统能在毫秒到分钟内回答：</w:t>
      </w:r>
      <w:r>
        <w:rPr>
          <w:rFonts w:ascii="Noto Sans SC" w:hAnsi="Noto Sans SC" w:eastAsia="Noto Sans SC" w:cs="Noto Sans SC"/>
          <w:b/>
          <w:i w:val="0"/>
          <w:color w:val="102A43"/>
          <w:sz w:val="24"/>
        </w:rPr>
        <w:t>谁授权？可以买什么？最多花多少？实际交付了什么？如何计费？税票开给谁？钱该如何分？失败后怎样撤销？</w:t>
      </w:r>
      <w:r>
        <w:rPr>
          <w:rFonts w:ascii="Noto Sans SC" w:hAnsi="Noto Sans SC" w:eastAsia="Noto Sans SC" w:cs="Noto Sans SC"/>
          <w:b w:val="0"/>
          <w:i w:val="0"/>
          <w:color w:val="102A43"/>
          <w:sz w:val="24"/>
        </w:rPr>
        <w:t xml:space="preserve"> 如果八个问题不能由同一 transaction graph 回答，就还不是 AI-native MoR。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五个需要现在做出的产品决策</w:t>
      </w:r>
    </w:p>
    <w:p>
      <w:pPr>
        <w:keepNext w:val="0"/>
        <w:keepLines/>
        <w:numPr>
          <w:ilvl w:val="0"/>
          <w:numId w:val="16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法律主体：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 作为受限执行接口，principal 为合同/税务主体；首期不服务无责任主体 Agent。</w:t>
      </w:r>
    </w:p>
    <w:p>
      <w:pPr>
        <w:keepNext w:val="0"/>
        <w:keepLines/>
        <w:numPr>
          <w:ilvl w:val="0"/>
          <w:numId w:val="16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市场楔子：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B2B 低风险数字服务；以 API、模型、数据、计算为目录边界。</w:t>
      </w:r>
    </w:p>
    <w:p>
      <w:pPr>
        <w:keepNext w:val="0"/>
        <w:keepLines/>
        <w:numPr>
          <w:ilvl w:val="0"/>
          <w:numId w:val="16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计费默认：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Hybrid Task Pricing；credits 作为销售抽象，原始 COGS 与证据永久可追溯。</w:t>
      </w:r>
    </w:p>
    <w:p>
      <w:pPr>
        <w:keepNext w:val="0"/>
        <w:keepLines/>
        <w:numPr>
          <w:ilvl w:val="0"/>
          <w:numId w:val="16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技术核心：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canonical transaction graph + three ledgers + deterministic policy engine + DeliveryReceipt。</w:t>
      </w:r>
    </w:p>
    <w:p>
      <w:pPr>
        <w:keepNext w:val="0"/>
        <w:keepLines/>
        <w:numPr>
          <w:ilvl w:val="0"/>
          <w:numId w:val="16"/>
        </w:numPr>
        <w:spacing w:after="80" w:line="264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生态策略：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协议中立、轨道合作；不复制 MCP/A2A/AP2/x402，不从自建支付网络开始。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最可能形成护城河的资产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资产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为什么难复制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责任与授权数据图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principal—Agent—mandate—quote—payment—delivery—dispute 的真实关系，比单一 KYA 或 wallet 更难复制。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交付与争议语料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知道哪些事件真正代表交付、哪些证据能降低退款/拒付，是 outcome 与风险定价的基础。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法律实体、税务与支付网络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全球 MoR 的实体/税务/收单仍是高门槛，且必须与 Agent 交易图真正结合。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跨协议 canonical ledger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协议会碎片化和迭代；稳定、可迁移、可解释的数据模型会成为事实标准。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真实损失率与 reserve pricing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新 Agent、新卖方、不可逆轨道、outcome 和多方 split 都需要按真实损失学习。</w:t>
            </w:r>
          </w:p>
        </w:tc>
      </w:tr>
    </w:tbl>
    <w:p>
      <w:pPr>
        <w:spacing w:after="6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APPENDIX A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协议状态与产品含义（截至 2026-07-11）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2050"/>
        <w:gridCol w:w="2500"/>
        <w:gridCol w:w="31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协议/产品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解决什么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当前成熟度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对 AI-native MoR 的正确接口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MCP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工具/数据连接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稳定规范 2025-11-25；2026 roadmap 强调企业认证/审计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暴露 quote、usage、invoice、refund tools；另叠加支付授权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协作与任务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v1.0 于 2026-03 发布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作为 Billing/MoR Agent；商业语义用 UCP/ACP，授权用 AP2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商品 feed、checkout、订单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OpenAI/Stripe 生态；接入和场景仍较集中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以商户身份返回权威价格/税/订单；供应商不直接成为合同相对方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UCP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 Agent/平台商业能力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2026 发布并持续迭代；明确 Business 保持 MoR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适合作为 northbound canonical commerce API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意图、购物车、支付授权与 Receipt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2026 v0.2 支持 Human Not Present，标准化仍早期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校验 mandate chain，映射预算/reserve，并用于争议证据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Visa TAP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可信 Agent 识别与 HTTP 签名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试点/生态扩展阶段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在 edge 验签，用于风控；仍需 checkout、支付与 MoR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Mastercard Agent Pay / AP4M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credential、限额、多轨机器结算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2026 扩展真实交易；AP4M 仍早期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消费网络信号与 intent；保留合同、税、退款和 seller liability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HTTP 402 稳定币/机器原生付费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V2 推荐，适合 API/MCP/数据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先形成含税报价和授权，后补发票、退款与合规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MPP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HTTP 402 的 session/recurring/multi-rail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2026 发布，适合持续用量和微交易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用于 session payment；MoR 负责净额、税、证据和售后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Stripe ACS / SPT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目录适配、代理 checkout、限定支付凭证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可用范围依地区与预览状态而异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ACS 本身不等于 MoR；Managed Payments 是独立责任路径</w:t>
            </w:r>
          </w:p>
        </w:tc>
      </w:tr>
    </w:tbl>
    <w:p>
      <w:pPr>
        <w:spacing w:after="60"/>
      </w:pP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7"/>
        </w:rPr>
        <w:t>成熟度表只用于产品规划，不代表任何协议已被所有支付机构、国家或商户普遍采用；正式上线前仍需逐地区、逐网络和逐产品路径核验。</w:t>
      </w:r>
    </w:p>
    <w:p>
      <w:pPr>
        <w:pStyle w:val="Heading2"/>
        <w:keepNext/>
        <w:keepLines/>
        <w:pageBreakBefore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关键术语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7"/>
              </w:rPr>
              <w:t>术语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7"/>
              </w:rPr>
              <w:t>本报告定义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Principal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承担经济与法律后果的人或企业；Agent 的预算所有者和授权人。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Agent Provider / Instance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提供 Agent 软件/服务的主体，与一次具体运行实例；二者都需可识别。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Mandate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由 principal 签发、可验证、细粒度且可撤销的商业/支付授权。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Task Envelope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机器可执行的报价与任务合同：价格、预算、SLA、证据、退款和到期条件。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DeliveryReceipt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连接任务、用量、结果和接受事件的签名交付证明。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MoR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在具体交易路径中作为法律卖方/转售方，并承担收款、间接税、退款/拒付和合规责任的实体。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KYA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Know Your Agent：对 Agent Provider、实例、密钥、版本和行为的识别；不能替代 KYC/KYB。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Reserve / Commit / Release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7"/>
              </w:rPr>
              <w:t>先预留预算，满足条件后确认扣款，失败或未用则释放的可逆状态机。</w:t>
            </w:r>
          </w:p>
        </w:tc>
      </w:tr>
    </w:tbl>
    <w:p>
      <w:pPr>
        <w:spacing w:after="6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APPENDIX B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主要一手资料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以下资料优先采用协议规范、官方开发者文档、监管/标准组织与产品官方定价。带价格或可用范围的信息变化较快；报告正文侧重结构性结论。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[S1] </w:t>
      </w:r>
      <w:hyperlink r:id="rId1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Stripe｜Merchant of Record 责任说明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MoR 的法律卖方、支付、税、退款与合规职责。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[S2] </w:t>
      </w:r>
      <w:hyperlink r:id="rId1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Model Context Protocol｜Specification 2025-11-25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工具、资源与 AI 应用连接标准。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[S3] </w:t>
      </w:r>
      <w:hyperlink r:id="rId1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A2A Protocol｜v1.0 / Specification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Card、任务、消息、制品与委派。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[S4] </w:t>
      </w:r>
      <w:hyperlink r:id="rId1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OpenAI Commerce｜ACP Key Concepts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目录、checkout 与 delegated payment 概念。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[S5] </w:t>
      </w:r>
      <w:hyperlink r:id="rId1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Universal Commerce Protocol｜Core Concepts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Business 保持 MoR 与交易所有权。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[S6] </w:t>
      </w:r>
      <w:hyperlink r:id="rId1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Agent Payments Protocol｜AP2 Specification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Intent/Checkout/Payment Mandate 与 Receipt。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[S7] </w:t>
      </w:r>
      <w:hyperlink r:id="rId2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Visa｜Trusted Agent Protocol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识别与 HTTP 签名上下文。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[S8] </w:t>
      </w:r>
      <w:hyperlink r:id="rId2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Mastercard｜Agent Pay for Machines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高频、低时延、低额机器支付与权限控制。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[S9] </w:t>
      </w:r>
      <w:hyperlink r:id="rId2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Stripe｜Shared Payment Tokens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限定 seller、金额和有效期的 delegated payment credential。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[S10] </w:t>
      </w:r>
      <w:hyperlink r:id="rId2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x402｜Official Documentation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基于 HTTP 402 的机器原生付费。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[S11] </w:t>
      </w:r>
      <w:hyperlink r:id="rId2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Cloudflare｜Machine Payments Protocol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charge/session、多轨和按 token/API call 的机器支付。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[S12] </w:t>
      </w:r>
      <w:hyperlink r:id="rId2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OpenAI API｜Pricing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输入、缓存输入、输出、工具与容器等计价结构。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[S13] </w:t>
      </w:r>
      <w:hyperlink r:id="rId2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Anthropic｜Pricing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token、cache、工具与运行 session 计费。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[S14] </w:t>
      </w:r>
      <w:hyperlink r:id="rId2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Google AI｜Gemini API Pricing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模型/模态、cache、storage 与 grounding 计费。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[S15] </w:t>
      </w:r>
      <w:hyperlink r:id="rId2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 Billing｜Token Billing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纯用量、包含额度、credit pack 与混合模型。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[S16] </w:t>
      </w:r>
      <w:hyperlink r:id="rId2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 Billing｜Metronome Integration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计量、rating、credits 与收款/税/发票分层。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[S17] </w:t>
      </w:r>
      <w:hyperlink r:id="rId3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Intercom｜Fin Pricing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Outcome-based AI agent pricing。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[S18] </w:t>
      </w:r>
      <w:hyperlink r:id="rId3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Salesforce｜Agentforce Pricing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Conversation / Flex Credits、commit 与 overage。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[S19] </w:t>
      </w:r>
      <w:hyperlink r:id="rId3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GitHub｜Copilot Usage-based Billing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席位、credits、模型用量与企业计费。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[S20] </w:t>
      </w:r>
      <w:hyperlink r:id="rId3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W3C｜Verifiable Credentials Data Model 2.0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可验证、tamper-secured 的主体与属性声明。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[S21] </w:t>
      </w:r>
      <w:hyperlink r:id="rId3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IETF｜OAuth Rich Authorization Requests, RFC 9396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细粒度 authorization_details。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[S22] </w:t>
      </w:r>
      <w:hyperlink r:id="rId3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OWASP｜AI Agent Security Cheat Sheet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Prompt injection、过度权限和 Agent 控制。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[S23] </w:t>
      </w:r>
      <w:hyperlink r:id="rId3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OECD｜International VAT/GST Guidelines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跨境服务/无形资产的消费地原则。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[S24] </w:t>
      </w:r>
      <w:hyperlink r:id="rId3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EU｜VAT Directive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以自己名义代表他人参与服务供给的税务结构。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[S25] </w:t>
      </w:r>
      <w:hyperlink r:id="rId3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FATF｜Digital Identity Guidance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数字身份与 CDD/持续监测责任。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[S26] </w:t>
      </w:r>
      <w:hyperlink r:id="rId3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Stripe｜Agentic Commerce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sell through agents 与 machine payments 的产品边界。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[S27] </w:t>
      </w:r>
      <w:hyperlink r:id="rId4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Stripe｜Agentic Commerce for Sellers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Agentic Commerce seller 仍保留商户责任。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[S28] </w:t>
      </w:r>
      <w:hyperlink r:id="rId1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Stripe｜Managed Payments / MoR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与 agentic commerce 适配器区分的 MoR 责任产品。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[S29] </w:t>
      </w:r>
      <w:hyperlink r:id="rId4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Nevermined｜AI Payments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用量、定价与支付的邻近层。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[S30] </w:t>
      </w:r>
      <w:hyperlink r:id="rId4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Skyfire｜Know Your Agent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身份与支付凭证的邻近层。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[S31] </w:t>
      </w:r>
      <w:hyperlink r:id="rId4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Sapiom｜Agent Payments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vendor access、wallet 与 spend 的邻近层。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[S32] </w:t>
      </w:r>
      <w:hyperlink r:id="rId4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Catena｜Agent Pay Control Plane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identity、policy、审批、限额与审计。</w:t>
      </w:r>
    </w:p>
    <w:p>
      <w:pPr>
        <w:keepNext w:val="0"/>
        <w:keepLines w:val="0"/>
        <w:spacing w:after="4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免责声明：本报告为产品与市场战略研究，不构成法律、税务、会计、监管或投资建议。任何 MoR、支付、储值、托管、稳定币、消费者和跨境税务方案，均需在具体国家、合同和交易路径下由专业顾问复核。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SC" w:hAnsi="Noto Sans SC" w:eastAsia="Noto Sans SC" w:cs="Noto Sans SC"/>
        <w:b w:val="0"/>
        <w:i w:val="0"/>
        <w:color w:val="52616B"/>
        <w:sz w:val="16"/>
      </w:rPr>
      <w:t xml:space="preserve">—  </w:t>
    </w:r>
    <w:r>
      <w:rPr>
        <w:rFonts w:ascii="Noto Sans SC" w:hAnsi="Noto Sans SC" w:eastAsia="Noto Sans SC" w:cs="Noto Sans SC"/>
        <w:b w:val="0"/>
        <w:i w:val="0"/>
        <w:color w:val="52616B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 w:cs="Noto Sans SC"/>
        <w:b w:val="0"/>
        <w:i w:val="0"/>
        <w:color w:val="52616B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pBdr>
        <w:bottom w:val="single" w:sz="4" w:color="CDD6DF" w:space="6"/>
      </w:pBdr>
    </w:pPr>
    <w:r>
      <w:rPr>
        <w:rFonts w:ascii="Noto Sans SC" w:hAnsi="Noto Sans SC" w:eastAsia="Noto Sans SC" w:cs="Noto Sans SC"/>
        <w:b/>
        <w:i w:val="0"/>
        <w:color w:val="52616B"/>
        <w:sz w:val="16"/>
      </w:rPr>
      <w:t>AI 原生 MoR · 战略分析</w:t>
    </w:r>
    <w:r>
      <w:rPr>
        <w:rFonts w:ascii="Noto Sans SC" w:hAnsi="Noto Sans SC" w:eastAsia="Noto Sans SC" w:cs="Noto Sans SC"/>
        <w:b w:val="0"/>
        <w:i w:val="0"/>
        <w:color w:val="52616B"/>
        <w:sz w:val="16"/>
      </w:rPr>
      <w:tab/>
      <w:t>2026.07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Noto Sans SC" w:hAnsi="Noto Sans SC" w:eastAsia="Noto Sans SC"/>
        <w:color w:val="087E8B"/>
      </w:rPr>
    </w:lvl>
    <w:lvl w:ilvl="1">
      <w:start w:val="1"/>
      <w:numFmt w:val="bullet"/>
      <w:lvlText w:val="•"/>
      <w:suff w:val="tab"/>
      <w:pPr>
        <w:tabs>
          <w:tab w:val="num" w:pos="1080"/>
        </w:tabs>
        <w:ind w:left="1080" w:hanging="360"/>
      </w:pPr>
      <w:rPr>
        <w:rFonts w:ascii="Noto Sans SC" w:hAnsi="Noto Sans SC" w:eastAsia="Noto Sans SC"/>
        <w:color w:val="087E8B"/>
      </w:rPr>
    </w:lvl>
    <w:lvl w:ilvl="2">
      <w:start w:val="1"/>
      <w:numFmt w:val="bullet"/>
      <w:lvlText w:val="•"/>
      <w:suff w:val="tab"/>
      <w:pPr>
        <w:tabs>
          <w:tab w:val="num" w:pos="1440"/>
        </w:tabs>
        <w:ind w:left="1440" w:hanging="360"/>
      </w:pPr>
      <w:rPr>
        <w:rFonts w:ascii="Noto Sans SC" w:hAnsi="Noto Sans SC" w:eastAsia="Noto Sans SC"/>
        <w:color w:val="087E8B"/>
      </w:rPr>
    </w:lvl>
  </w:abstractNum>
  <w:num w:numId="10">
    <w:abstractNumId w:val="9"/>
  </w:num>
  <w:abstractNum w:abstractNumId="10">
    <w:multiLevelType w:val="hybrid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Noto Sans SC" w:hAnsi="Noto Sans SC" w:eastAsia="Noto Sans SC"/>
        <w:color w:val="2E74B5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Noto Sans SC" w:hAnsi="Noto Sans SC" w:eastAsia="Noto Sans SC"/>
        <w:color w:val="2E74B5"/>
      </w:rPr>
    </w:lvl>
    <w:lvl w:ilvl="2">
      <w:start w:val="1"/>
      <w:numFmt w:val="decimal"/>
      <w:lvlText w:val="%3."/>
      <w:suff w:val="tab"/>
      <w:pPr>
        <w:tabs>
          <w:tab w:val="num" w:pos="1440"/>
        </w:tabs>
        <w:ind w:left="1440" w:hanging="360"/>
      </w:pPr>
      <w:rPr>
        <w:rFonts w:ascii="Noto Sans SC" w:hAnsi="Noto Sans SC" w:eastAsia="Noto Sans SC"/>
        <w:color w:val="2E74B5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left"/>
    </w:pPr>
    <w:rPr>
      <w:rFonts w:ascii="Noto Sans SC" w:hAnsi="Noto Sans SC" w:eastAsia="Noto Sans SC" w:cs="Noto Sans SC"/>
      <w:b w:val="0"/>
      <w:color w:val="102A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44" w:line="240" w:lineRule="auto"/>
    </w:pPr>
    <w:rPr>
      <w:rFonts w:ascii="Noto Sans SC" w:hAnsi="Noto Sans SC" w:eastAsia="Noto Sans SC" w:cs="Noto Sans SC"/>
      <w:b w:val="0"/>
      <w:color w:val="52616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stripe.com/resources/more/merchant-of-record" TargetMode="External"/><Relationship Id="rId15" Type="http://schemas.openxmlformats.org/officeDocument/2006/relationships/hyperlink" Target="https://modelcontextprotocol.io/specification/2025-11-25" TargetMode="External"/><Relationship Id="rId16" Type="http://schemas.openxmlformats.org/officeDocument/2006/relationships/hyperlink" Target="https://a2a-protocol.org/latest/specification/" TargetMode="External"/><Relationship Id="rId17" Type="http://schemas.openxmlformats.org/officeDocument/2006/relationships/hyperlink" Target="https://developers.openai.com/commerce/guides/key-concepts" TargetMode="External"/><Relationship Id="rId18" Type="http://schemas.openxmlformats.org/officeDocument/2006/relationships/hyperlink" Target="https://ucp.dev/documentation/core-concepts/" TargetMode="External"/><Relationship Id="rId19" Type="http://schemas.openxmlformats.org/officeDocument/2006/relationships/hyperlink" Target="https://ap2-protocol.org/ap2/specification/" TargetMode="External"/><Relationship Id="rId20" Type="http://schemas.openxmlformats.org/officeDocument/2006/relationships/hyperlink" Target="https://developer.visa.com/capabilities/trusted-agent-protocol/trusted-agent-protocol-specifications" TargetMode="External"/><Relationship Id="rId21" Type="http://schemas.openxmlformats.org/officeDocument/2006/relationships/hyperlink" Target="https://www.mastercard.com/us/en/news-and-trends/press/2026/june/mastercard-launches-agent-pay-for-machines.html" TargetMode="External"/><Relationship Id="rId22" Type="http://schemas.openxmlformats.org/officeDocument/2006/relationships/hyperlink" Target="https://docs.stripe.com/agentic-commerce/concepts/shared-payment-tokens" TargetMode="External"/><Relationship Id="rId23" Type="http://schemas.openxmlformats.org/officeDocument/2006/relationships/hyperlink" Target="https://docs.x402.org/introduction" TargetMode="External"/><Relationship Id="rId24" Type="http://schemas.openxmlformats.org/officeDocument/2006/relationships/hyperlink" Target="https://developers.cloudflare.com/agents/tools/payments/mpp/" TargetMode="External"/><Relationship Id="rId25" Type="http://schemas.openxmlformats.org/officeDocument/2006/relationships/hyperlink" Target="https://developers.openai.com/api/docs/pricing" TargetMode="External"/><Relationship Id="rId26" Type="http://schemas.openxmlformats.org/officeDocument/2006/relationships/hyperlink" Target="https://platform.claude.com/docs/en/about-claude/pricing" TargetMode="External"/><Relationship Id="rId27" Type="http://schemas.openxmlformats.org/officeDocument/2006/relationships/hyperlink" Target="https://ai.google.dev/gemini-api/docs/pricing" TargetMode="External"/><Relationship Id="rId28" Type="http://schemas.openxmlformats.org/officeDocument/2006/relationships/hyperlink" Target="https://docs.stripe.com/billing/token-billing" TargetMode="External"/><Relationship Id="rId29" Type="http://schemas.openxmlformats.org/officeDocument/2006/relationships/hyperlink" Target="https://docs.stripe.com/billing/how-metronome-works-with-stripe" TargetMode="External"/><Relationship Id="rId30" Type="http://schemas.openxmlformats.org/officeDocument/2006/relationships/hyperlink" Target="https://www.intercom.com/pricing" TargetMode="External"/><Relationship Id="rId31" Type="http://schemas.openxmlformats.org/officeDocument/2006/relationships/hyperlink" Target="https://www.salesforce.com/agentforce/pricing/" TargetMode="External"/><Relationship Id="rId32" Type="http://schemas.openxmlformats.org/officeDocument/2006/relationships/hyperlink" Target="https://docs.github.com/en/copilot/concepts/billing/organizations-and-enterprises" TargetMode="External"/><Relationship Id="rId33" Type="http://schemas.openxmlformats.org/officeDocument/2006/relationships/hyperlink" Target="https://www.w3.org/TR/vc-data-model-2.0/" TargetMode="External"/><Relationship Id="rId34" Type="http://schemas.openxmlformats.org/officeDocument/2006/relationships/hyperlink" Target="https://www.rfc-editor.org/rfc/rfc9396" TargetMode="External"/><Relationship Id="rId35" Type="http://schemas.openxmlformats.org/officeDocument/2006/relationships/hyperlink" Target="https://cheatsheetseries.owasp.org/cheatsheets/AI_Agent_Security_Cheat_Sheet.html" TargetMode="External"/><Relationship Id="rId36" Type="http://schemas.openxmlformats.org/officeDocument/2006/relationships/hyperlink" Target="https://www.oecd.org/content/dam/oecd/en/publications/reports/2017/04/international-vat-gst-guidelines_g1g75db4/9789264271401-en.pdf" TargetMode="External"/><Relationship Id="rId37" Type="http://schemas.openxmlformats.org/officeDocument/2006/relationships/hyperlink" Target="https://taxation-customs.ec.europa.eu/system/files/2018-07/vat_directive_with_details_for_the_definitive_system_en.pdf" TargetMode="External"/><Relationship Id="rId38" Type="http://schemas.openxmlformats.org/officeDocument/2006/relationships/hyperlink" Target="https://www.fatf-gafi.org/content/dam/fatf-gafi/guidance/Guidance-on-Digital-Identity-report.pdf" TargetMode="External"/><Relationship Id="rId39" Type="http://schemas.openxmlformats.org/officeDocument/2006/relationships/hyperlink" Target="https://docs.stripe.com/agentic-commerce" TargetMode="External"/><Relationship Id="rId40" Type="http://schemas.openxmlformats.org/officeDocument/2006/relationships/hyperlink" Target="https://docs.stripe.com/agentic-commerce/for-sellers" TargetMode="External"/><Relationship Id="rId41" Type="http://schemas.openxmlformats.org/officeDocument/2006/relationships/hyperlink" Target="https://nevermined.ai/" TargetMode="External"/><Relationship Id="rId42" Type="http://schemas.openxmlformats.org/officeDocument/2006/relationships/hyperlink" Target="https://skyfire.xyz/know-your-agent-kya/" TargetMode="External"/><Relationship Id="rId43" Type="http://schemas.openxmlformats.org/officeDocument/2006/relationships/hyperlink" Target="https://www.sapiom.ai/" TargetMode="External"/><Relationship Id="rId44" Type="http://schemas.openxmlformats.org/officeDocument/2006/relationships/hyperlink" Target="https://catena.com/blog/catena-supports-mastercard-agent-pay-for-mach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原生时代的 Merchant of Record：战略分析</dc:title>
  <dc:subject>Agentic Commerce、Agent-to-Agent 交易与 AI 服务计费</dc:subject>
  <dc:creator>OpenAI</dc:creator>
  <cp:keywords>MoR, Merchant of Record, AI Agent, A2A, AP2, UCP, x402, MPP</cp:keywords>
  <dc:description>资料截至 2026-07-11；战略研究，不构成法律、税务或投资建议。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