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00"/>
        <w:jc w:val="center"/>
      </w:pPr>
      <w:r>
        <w:rPr>
          <w:rFonts w:ascii="Noto Sans SC" w:hAnsi="Noto Sans SC" w:eastAsia="Noto Sans SC" w:cs="Noto Sans SC"/>
          <w:b/>
          <w:i w:val="0"/>
          <w:color w:val="667085"/>
          <w:sz w:val="21"/>
        </w:rPr>
        <w:t>[公司名] · INVESTOR BUSINESS PLAN</w:t>
      </w:r>
    </w:p>
    <w:p>
      <w:pPr>
        <w:spacing w:after="100"/>
        <w:jc w:val="center"/>
      </w:pPr>
      <w:r>
        <w:rPr>
          <w:rFonts w:ascii="Noto Sans SC" w:hAnsi="Noto Sans SC" w:eastAsia="Noto Sans SC" w:cs="Noto Sans SC"/>
          <w:b/>
          <w:i w:val="0"/>
          <w:color w:val="0B2545"/>
          <w:sz w:val="54"/>
        </w:rPr>
        <w:t>Agent-native MoR</w:t>
      </w:r>
    </w:p>
    <w:p>
      <w:pPr>
        <w:spacing w:after="140"/>
        <w:jc w:val="center"/>
      </w:pPr>
      <w:r>
        <w:rPr>
          <w:rFonts w:ascii="Noto Sans SC" w:hAnsi="Noto Sans SC" w:eastAsia="Noto Sans SC" w:cs="Noto Sans SC"/>
          <w:b/>
          <w:i w:val="0"/>
          <w:color w:val="1F4D78"/>
          <w:sz w:val="28"/>
        </w:rPr>
        <w:t>AI Agent 时代的商业责任、计费、支付、税务与账本基础设施</w:t>
      </w:r>
    </w:p>
    <w:p>
      <w:pPr>
        <w:spacing w:after="480"/>
        <w:jc w:val="center"/>
      </w:pPr>
      <w:r>
        <w:rPr>
          <w:rFonts w:ascii="Noto Sans SC" w:hAnsi="Noto Sans SC" w:eastAsia="Noto Sans SC" w:cs="Noto Sans SC"/>
          <w:b/>
          <w:i w:val="0"/>
          <w:color w:val="667085"/>
          <w:sz w:val="19"/>
        </w:rPr>
        <w:t>Seed financing case · 2026–2031 operating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200"/>
        <w:gridCol w:w="3480"/>
        <w:gridCol w:w="1200"/>
        <w:gridCol w:w="348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项目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内容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项目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公司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[公司名]（TBD）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基准阶段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MVP + 5–10 design partners（融资关闭前 Gate）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一句话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多协议之上的 Agent 商业责任与账本层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本轮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$6.5m Seed + 独立 $2.5m 风险/结算额度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首要客户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AI API / Agent tool / marketplace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规划窗口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24 个月执行 · 5 年财务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基准 Y5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$33.0m net revenue · $43.2m exit ARR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版本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Investor Draft v1.0 · 2026-07-14</w:t>
            </w:r>
          </w:p>
        </w:tc>
      </w:tr>
    </w:tbl>
    <w:p>
      <w:pPr>
        <w:spacing w:before="80" w:after="80"/>
      </w:pPr>
    </w:p>
    <w:p>
      <w:pPr>
        <w:spacing w:before="100" w:after="200" w:line="290" w:lineRule="auto"/>
        <w:shd w:fill="E7F5F1"/>
        <w:keepNext w:val="0"/>
        <w:keepLines/>
        <w:pBdr>
          <w:left w:val="single" w:sz="18" w:space="8" w:color="0F766E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公司一句话介绍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[公司名] 为 AI Agent 与 AI 产品提供 Agent-native Merchant of Record：在多种支付协议之上，承接主体识别、授权、任务计费、税务、账本、退款、争议和供应商结算，让开发者用一套 API 把机器执行变成可审计的全球收入。</w:t>
      </w:r>
    </w:p>
    <w:p>
      <w:pPr>
        <w:spacing w:before="100" w:after="200" w:line="290" w:lineRule="auto"/>
        <w:shd w:fill="FFF3E0"/>
        <w:keepNext w:val="0"/>
        <w:keepLines/>
        <w:pBdr>
          <w:left w:val="single" w:sz="18" w:space="8" w:color="D97706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D97706"/>
          <w:sz w:val="18"/>
        </w:rPr>
        <w:t xml:space="preserve">数据边界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本文没有收到可核验的创始人履历、收入、客户、合同、历史融资或当前现金。凡公司特定数据均标注为 ACTUAL / TBD；经营数字均为 ASSUMPTION / TARGET，不能对外表述为已实现。</w:t>
      </w:r>
    </w:p>
    <w:p>
      <w:pPr>
        <w:spacing w:before="320"/>
        <w:jc w:val="center"/>
      </w:pPr>
      <w:r>
        <w:rPr>
          <w:rFonts w:ascii="Noto Sans SC" w:hAnsi="Noto Sans SC" w:eastAsia="Noto Sans SC" w:cs="Noto Sans SC"/>
          <w:b/>
          <w:i w:val="0"/>
          <w:color w:val="9B1C1C"/>
          <w:sz w:val="18"/>
        </w:rPr>
        <w:t>CONFIDENTIAL · NOT FOR DISTRIBUTION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EXECUTIVE SUMMARY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执行摘要</w:t>
      </w:r>
    </w:p>
    <w:p>
      <w:pPr>
        <w:spacing w:before="100" w:after="200" w:line="290" w:lineRule="auto"/>
        <w:shd w:fill="E7F5F1"/>
        <w:keepNext w:val="0"/>
        <w:keepLines/>
        <w:pBdr>
          <w:left w:val="single" w:sz="18" w:space="8" w:color="0F766E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核心判断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支付协议解决“钱怎么移动”；Agent-native MoR 解决“谁有权行动、任务是否交付、税与责任属于谁，以及失败后如何退款和对账”。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问题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方案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客户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商业模式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传统支付假设人类在场；Agent 的主体、授权、任务验收、微支付、税务和争议分散在多套系统。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Principal–Mandate–Task–Evidence–Payment–Tax–Ledger 的统一对象与双重记账；适配 MCP/A2A/AP2/UCP/x402/MPP。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先服务跨境 AI API、Agent tools 与 marketplace；后进入企业 Agent 采购与平台。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订阅 + MoR take rate + 合规增值；支付通道费透传，事件费不计入基准预测。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市场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阶段 / 进展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融资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24 个月目标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TAM $9.75B；SAM $1.87B；Y5 Base SOM 为 600 客户与 $43.2M exit ARR。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FACT：市场、竞争、产品 RFC、对象/状态/API/协议路线已完成。ASSUMPTION：生产 MVP、合同和收入尚未核验。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基准 $6.5M Seed，预计本轮独立 runway 约 26 个月；另设 $2.5M 受限风险/结算额度。未达 Gate 0 时改融 $3.0–3.5M pre-seed。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55 客户、$2.38M exit ARR、约 $100–120M exit TPV、58% GM、2 PSP、关键链路可审计；M15 启动 Series A。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为什么现在</w:t>
      </w:r>
    </w:p>
    <w:p>
      <w:pPr>
        <w:keepNext w:val="0"/>
        <w:keepLines w:val="0"/>
        <w:spacing w:before="0" w:after="6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0B2545"/>
          <w:sz w:val="18"/>
        </w:rPr>
        <w:t>2025 年企业生成式 AI 支出估算达 $37B；65% 的受访组织已通过 API 创收，但仅 24% 主动为 Agent 设计 API，51% 担忧 Agent 未授权/过度调用。[S1][S2] MPP 已用于按 session/API call 付款，x402 也显示真实机器交易。[S7][S8]</w:t>
      </w:r>
    </w:p>
    <w:p>
      <w:pPr>
        <w:pStyle w:val="SourceNote"/>
        <w:keepNext w:val="0"/>
        <w:keepLines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>投资假设：24 个月内证明责任承接的付费意愿、Evidence 的争议/对账价值和多协议/税务走廊的可扩张性。Base Y5：$33.0M net revenue、73% GM、$2.1M EBITDA；Bear 仍需战略调整或追加融资。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00 · READ ME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事实、假设与投资决策边界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如何阅读本文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150"/>
        <w:gridCol w:w="3260"/>
        <w:gridCol w:w="495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标签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含义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本案处理方式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FACT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可由当前材料或公开来源核验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市场、协议、竞品定价与已完成的产品研究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INFERENCE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基于多项事实的产品/商业判断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机会、定位、竞争壁垒与优先顺序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ASSUMPTION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为了形成完整计划而设定，可在模型中修改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价格、客户数、成本、融资与情景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TARGET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本轮资金要达到的可验证节点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客户、ARR、TPV、毛利、可靠性与合规指标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ACTUAL / TBD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必须由创始团队补充的公司事实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团队、收入、客户、合同、历史融资、现金与法律实体</w:t>
            </w:r>
          </w:p>
        </w:tc>
      </w:tr>
    </w:tbl>
    <w:p>
      <w:pPr>
        <w:spacing w:before="80" w:after="80"/>
      </w:pPr>
    </w:p>
    <w:p>
      <w:pPr>
        <w:spacing w:before="100" w:after="200" w:line="290" w:lineRule="auto"/>
        <w:shd w:fill="FFF3E0"/>
        <w:keepNext w:val="0"/>
        <w:keepLines/>
        <w:pBdr>
          <w:left w:val="single" w:sz="18" w:space="8" w:color="D97706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D97706"/>
          <w:sz w:val="18"/>
        </w:rPr>
        <w:t xml:space="preserve">当前阶段假设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由于未收到可验证的产品上线、客户和融资数据，本 BP 把公司视为“build-ready / pre-production”。若已有 MVP、设计伙伴或收入，应直接替换附录中的 TBD，并同步修改融资阶段与估值叙事。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当前可确认的关键进展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品类与市场定义已完成。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已形成全球 MoR 竞争地图、垂直定位与 Agent 原生机会判断。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产品边界已完成。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已定义 Agent 主体、Mandate、Task、Evidence、计费、支付协议、税务、账本、退款和争议的端到端规格。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开发者体验已完成概念设计。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从“SDK + 设置型 Dashboard”转为“machine-readable contract + agent callable API + exception console”。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财务与市场模型已形成。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配套 Excel 含 60 个月现金、三种情景、单位经济、TAM/SAM/SOM、融资用途与检查表。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尚未核验。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生产代码、支付/税务伙伴、客户访谈、LOI、合同、收入、TPV、团队履历、历史融资和法律意见。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文档地图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850"/>
        <w:gridCol w:w="3830"/>
        <w:gridCol w:w="850"/>
        <w:gridCol w:w="3830"/>
      </w:tblGrid>
      <w:tr>
        <w:trPr>
          <w:cantSplit/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章节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回答的问题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章节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回答的问题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01–03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痛点、产品与市场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08–10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运营、团队与里程碑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04–07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商业模式、验证、GTM 与竞争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11–13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财务、融资与风险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附录 A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关键指标与数据室清单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附录 B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来源、口径与限制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01 · PROBLEM &amp; OPPORTUNITY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痛点与市场机会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客户的问题不是“缺一个支付按钮”，而是 Agent 交易没有可承责的商业闭环。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客户今天如何拼系统</w:t>
      </w:r>
    </w:p>
    <w:p>
      <w:pPr>
        <w:keepNext w:val="0"/>
        <w:keepLines w:val="0"/>
        <w:spacing w:before="0" w:after="16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0B2545"/>
          <w:sz w:val="22"/>
        </w:rPr>
        <w:t>一家销售 AI API 或 Agent 服务的公司，通常同时使用 PSP、订阅/用量计费、税务服务、内部 credits、数据仓库、财务软件和人工表格。系统能够记录“调用发生”和“钱已扣”，却很难一致回答：哪个法律主体授权哪个 Agent？任务是否达到验收标准？超预算由谁承担？税务发票属于哪笔交易？失败后应该退款、补偿还是重试？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50"/>
        <w:gridCol w:w="4390"/>
        <w:gridCol w:w="322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痛点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现实后果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购买触发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主体与授权不清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token、用户账号、企业预算与支付凭证相互脱节；出现未授权或过度调用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发布 autonomous mode、接入企业客户或发生第一起超预算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 不等于 API 200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部分交付、质量不足或多 Agent 失败仍可能扣费；争议缺少证据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从 token/call 转向 task、milestone 或 outcome 计费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高频小额不适配卡费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固定手续费吞噬毛利；每次调用独立扣款无法规模化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接入 x402/MPP、稳定币、预充值或 session netting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跨境责任碎片化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税率、发票、退款、争议、消费者权利和禁限售规则分散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进入第 10 个国家、签首个 enterprise、税务阈值触发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财务事实不统一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Usage、invoice、cash、tax 与 seller payable 无法确定性重放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月结时间拉长、审计或融资尽调开始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开发者配置负担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SDK 接入后仍需手工配置产品、价格、税务、支付方式和品牌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团队希望 Agent 或代码直接创建并管理商业对象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问题有多严重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收入已存在。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Postman 2025 调研显示 65% 的受访组织通过 API 创收；商业化不是未来问题。[S2]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Agent-ready 供给不足。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同一调研中只有 24% 的开发者主动为 Agent 设计 API，说明商业基础设施落后于调用基础设施。[S2]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安全是上线门槛。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51% 将 Agent 未授权或过度调用视为首要担忧，49% 担心敏感数据，46% 担心凭据泄漏。[S2]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交付仍不确定。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Stanford 2026 AI Index 显示 Agent 在 OSWorld 的任务成功率约 66%；任务级 reserve、evidence、acceptance 与补偿不是过度设计。[S4]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税务成本具有规模。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欧盟 ViDA 的持续推进表明数字报告、平台责任和跨境税务仍在重构；合规自动化是长期刚需。[S9]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为什么现在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350"/>
        <w:gridCol w:w="4900"/>
        <w:gridCol w:w="31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信号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事实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对本公司的含义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AI 预算形成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2025 企业生成式 AI 支出估算 $37B，其中应用 $19B、模型 API $12.5B、Agent 平台约 $0.75B；76% 用例选择购买而非自建。[S1]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客户预算与采购意愿存在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新客户池扩张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2025 全球新增 3,499 家获得融资的 AI 公司，同比增长 70.8%。[S5]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每年持续出现需要全球商业化的新 prospect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协议进入生产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MPP 支持 microtransaction、recurring、SPT；Browserbase、Parallel 等已按 session/call 收费。[S7]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机器支付从实验走向产品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交易开始显性化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x402 在 2026-07-14 的动态快照显示过去 30 天 75.41M 笔交易与 $24.24M 金额。[S8]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低客单、高频、机器发起的交易形态已出现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标准尚未固化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MCP/A2A/AP2/UCP/x402/MPP 分别覆盖连接、任务、授权或付款，但没有统一 MoR 责任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有机会定义 canonical responsibility layer</w:t>
            </w:r>
          </w:p>
        </w:tc>
      </w:tr>
    </w:tbl>
    <w:p>
      <w:pPr>
        <w:spacing w:before="80" w:after="80"/>
      </w:pPr>
    </w:p>
    <w:p>
      <w:pPr>
        <w:spacing w:before="100" w:after="200" w:line="290" w:lineRule="auto"/>
        <w:shd w:fill="FFF3E0"/>
        <w:keepNext w:val="0"/>
        <w:keepLines/>
        <w:pBdr>
          <w:left w:val="single" w:sz="18" w:space="8" w:color="D97706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D97706"/>
          <w:sz w:val="18"/>
        </w:rPr>
        <w:t xml:space="preserve">客户购买意愿的真实检验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外部数据只能证明问题存在，不能证明本公司 PMF。融资前必须通过付费 pilot、可退 deposit 或带金额/日期的 LOI 检验，而不是只问“是否感兴趣”。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02 · PRODUCT &amp; SOLUTION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产品与解决方案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Agent-native MoR 是协议之上的法律与财务执行层，不是 Agent 钱包、又一个 PSP 或一个会聊天的 Dashboard。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06440" cy="3300652"/>
            <wp:docPr id="1" name="Picture 1" title="Agent-native MoR 产品栈" descr="五层产品栈：开发者和 Agent surface、商业运行时、MoR 责任、金融核心、协议与支付轨道适配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1 · 外部协议进入 adapter，内部统一为可审计的 canonical commerce objects。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产品定义与责任边界</w:t>
      </w:r>
    </w:p>
    <w:p>
      <w:pPr>
        <w:spacing w:before="100" w:after="200" w:line="290" w:lineRule="auto"/>
        <w:shd w:fill="E7F5F1"/>
        <w:keepNext w:val="0"/>
        <w:keepLines/>
        <w:pBdr>
          <w:left w:val="single" w:sz="18" w:space="8" w:color="0F766E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正式定义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Agent-native MoR 是委托式机器商务的法律与财务执行层：验证谁在代表谁、被允许购买什么、任务实际完成了什么、应该收多少钱、税与责任属于谁，以及资金如何退款、争议和结算。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600"/>
        <w:gridCol w:w="4250"/>
        <w:gridCol w:w="351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对象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含义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关键不变量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法律、预算与税务主体；通常是最终客户或企业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每笔交易必须有 principal_id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Identity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Provider、definition、release、instance、session/task 六层身份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不是默认法律买方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 允许 Agent 在范围、时间和预算内行动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 与支付凭证授权分离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 / Task Graph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可执行、计量、交付和验收的运行对象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 与 Sale/Invoice 分离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 / Meter / Bill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价格承诺、使用事实和应收计算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最终金额 ≤ quote、mandate 与 reserve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 / Acceptance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交付证据、验收规则和责任理由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HTTP 200 不等于可结算交付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Payment / Tax / Ledger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资金、税与会计事实的法律闭环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双重记账；可重放、可回滚、可对账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端到端使用流程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发现 —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Agent 读取 machine-readable catalog、价格、税务范围、支持协议和验收策略。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报价 —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MoR 返回带版本、过期时间、费用上限和可接受 rail 的 Quote。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授权 —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Principal/Trusted Surface 签发 Mandate；高风险或超预算请求 step-up。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预留 —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在工作开始前 reserve 资金或预算；微支付可 prefund 并在 session/day 净额化。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执行 —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AgentTask 记录版本、工具、节点、meter events 与可验证 artifacts。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验收 —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按显式规则自动或人工接受；部分交付、超时和失败有独立状态。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扣款与税 —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capture 不超过 quote/mandate/reserve；MoR 生成 invoice、税与客户凭证。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结算与售后 —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seller payable、split、refund、dispute、chargeback 与补偿交易进入三本账。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开发者与 Agent 的新体验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3000"/>
        <w:gridCol w:w="3670"/>
        <w:gridCol w:w="269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传统 MoR 体验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新的默认体验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人类 Console 的角色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先注册，再到 Dashboard 创建品牌、产品、价格、支付方式；最后复制 SDK 代码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Agent/CLI 读取 capabilities，生成 commerce manifest 与测试任务；API 创建对象并运行 dry-run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审查、例外、风险、税务、账本和证据，而非每次手工配置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以 checkout/session/subscription 为中心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以 Principal、Mandate、Task、Evidence 与 Bill 为中心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解释“谁批准、为何扣款、何处失败”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Webhook 事件分散，开发者自己拼状态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可订阅的 canonical event log、deterministic replay 与 trace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可视化状态机、关联证据和账本分录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升级费率或税务范围依赖工单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policy-as-code、versioned pricing、protocol adapters 与 sandbox scenario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批准高风险 policy change 和 corridor 上线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核心功能与发布优先级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0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能力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P0 · 0–6 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P1 · 6–12 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P2 · 12–24 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主体与授权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Principal、Agent identity、Mandate、预算与 step-up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 reputation、delegation chain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跨企业 trust network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任务与计费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fixed、usage、credits、subscription、session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milestone、outcome、partial acceptance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multi-agent task graph settlement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协议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REST/MCP GA；A2A/x402/MPP Beta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AP2/UCP/SPT adapters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自适应 routing 与更多 ecosystem profiles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资金与税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reserve/capture/refund、invoice、基础税、seller payable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split、netting、multi-currency、tax corridors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实时 treasury、智能 reserve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运营与风险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KYA/KYB、evidence、三本账、对账、争议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风险图、cohort loss、外部审计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跨商户 agent/provider risk network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产品状态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680"/>
        <w:gridCol w:w="2730"/>
        <w:gridCol w:w="4950"/>
      </w:tblGrid>
      <w:tr>
        <w:trPr>
          <w:cantSplit/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层级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当前状态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进入下一阶段的 Gate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概念 / Strategy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FACT · 已完成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市场、ICP、责任边界、竞争和商业模型一致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Build-ready RFC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FACT · 已完成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对象、状态、API、协议、账本、税和验收标准可实现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Sandbox MVP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ACTUAL / TBD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3 家客户跑通 quote→mandate→task→evidence→capture→invoice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Controlled production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ACTUAL / TBD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首批 corridor、2 rails、自动对账与外部税务检查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Scale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TARGET · 12–24 月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55 客户、$2.38M exit ARR、关键 SLO 与损失率达标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03 · CUSTOMER &amp; MARKET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目标客户与市场规模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用可观察的 API 商业化企业作为母池，以客户数 × 净 ARPA 进行自下而上测算。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Beachhead ICP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700"/>
        <w:gridCol w:w="3630"/>
        <w:gridCol w:w="2490"/>
        <w:gridCol w:w="254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优先级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客户画像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买方角色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高意向触发事件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Seed–Series B 的 AI-native app/API；ARR $0.2–20M；少于 150 人；境外收入 &gt;30% 或销售 10+ 国家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Founder、VP Eng、Head of Product；扩张后加入 CFO/Finance/Risk/Legal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跨境首单、usage/outcome pricing、发布 MCP/A2A、企业合同、首个重大退款/争议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P2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Search/browser/data/model/code/voice/storage 等 Agent tool seller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Founder、Product、Billing/Finance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call/session/task 收费；低客单高频；需要 netting 和税务凭证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P2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marketplace / orchestration platform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Platform GM、Payments、Trust &amp; Safety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多供应商 Task Graph、KYA/KYB、split payout 与白标 MoR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P3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Enterprise Agent procurement / platform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CIO、Procurement、CFO、Risk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预算 Mandate、供应商治理、审计与私有 routing；销售周期长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优先使用场景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Agent 调用付费 API/MCP。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先取得 machine-readable quote，验证 mandate，reserve，再按实际用量 capture。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多 Agent 完成 Task Graph。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按节点 evidence 与 acceptance 向多个供应商分账，并生成统一客户凭证。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企业 Agent 外部采购。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把预算、授权、供应商、税务和 ledger 事实统一到可审计记录。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AI 产品采用混合定价。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token、tool call、session、credits 与成功结果组合，面向全球买方销售。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失败和部分交付。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自动 pause、step-up、partial capture、refund 或 compensating transaction。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69280" cy="2788920"/>
            <wp:docPr id="2" name="Picture 2" title="Agent-native MoR TAM SAM SOM" descr="自下而上的市场漏斗，展示 97.5 亿美元 TAM、18.7 亿美元 SAM 与 4320 万美元 Y5 SOM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2 · 市场规模均为净平台 / MoR ARR，不含支付通道透传、代收税、seller payable 或受限准备金。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TAM / SAM / SOM 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050"/>
        <w:gridCol w:w="3380"/>
        <w:gridCol w:w="1200"/>
        <w:gridCol w:w="1660"/>
        <w:gridCol w:w="207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层级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客户数计算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净 ARPA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收入机会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口径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TAM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500,000 Postman 公司 × 65% API monetization ≈ 325,000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$30k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$9.75B ARR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跨数据集 proxy，不是行业人口普查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SAM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325,000 × 24% Agent-ready × 50% 地域/品类/风险过滤 ≈ 39,000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$48k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$1.87B ARR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初始可覆盖数字服务和重点走廊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SOM · Bear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300 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约 $53k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$16.0M exit ARR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SAM 客户数约 0.8%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SOM · Base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600 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约 $72k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$43.2M exit ARR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SAM 客户数约 1.5%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SOM · Bull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1,000 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约 $88k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$87.7M exit ARR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SAM 客户数约 2.6%</w:t>
            </w:r>
          </w:p>
        </w:tc>
      </w:tr>
    </w:tbl>
    <w:p>
      <w:pPr>
        <w:spacing w:before="80" w:after="80"/>
      </w:pPr>
    </w:p>
    <w:p>
      <w:pPr>
        <w:pStyle w:val="SourceNote"/>
        <w:keepNext w:val="0"/>
        <w:keepLines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>来源与限制：[S2][S3]。Postman 50 万公司与 65% API monetization 来自不同口径；24% 是调研中的 Agent-ready 比例；50% 服务过滤及全部 ARPA 为内部假设。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年度新增高意向客户池</w:t>
      </w:r>
    </w:p>
    <w:p>
      <w:pPr>
        <w:keepNext w:val="0"/>
        <w:keepLines w:val="0"/>
        <w:spacing w:before="0" w:after="16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0B2545"/>
          <w:sz w:val="22"/>
        </w:rPr>
        <w:t>2025 年全球新增 3,499 家获得融资的 AI 公司。[S5] 若内部假设其中 20% 在 18 个月内推出全球付费数字产品，则每年约 700 个高意向新 prospect；若赢得 5%，约为 35 个新客户/年。20% 和 5% 都是待 CRM 验证的假设，不可表述为已验证转化率。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04 · BUSINESS MODEL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商业模式与定价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谁付钱：销售 AI/Agent 数字服务的商户或平台；为什么付：更快全球变现、减少责任碎片和运营成本。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收入构成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2520"/>
        <w:gridCol w:w="3220"/>
        <w:gridCol w:w="192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收入项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收费基础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客户价值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基准模型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Platform subscription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按月/年，覆盖 API、ledger、console、基础支持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可预测容量与功能权利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已计入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take rate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eligible TPV；支付/网络成本另行透传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法定销售方、税、争议与资金闭环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已计入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Compliance add-ons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额外 tax market、KYA、审计导出、长期 evidence、premium support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降低企业合规与审计成本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已计入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Billable events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超出包含量后按百万事件或 accepted task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覆盖高频 Meter/Evidence 处理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未计入，作为上行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Fast settlement / risk cover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快速结算 1–2%；风险保障 0.3–0.8%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改善商户现金流或风险转移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未计入</w:t>
            </w:r>
          </w:p>
        </w:tc>
      </w:tr>
    </w:tbl>
    <w:p>
      <w:pPr>
        <w:spacing w:before="80" w:after="80"/>
      </w:pPr>
    </w:p>
    <w:p>
      <w:pPr>
        <w:spacing w:before="100" w:after="200" w:line="290" w:lineRule="auto"/>
        <w:shd w:fill="FFF3E0"/>
        <w:keepNext w:val="0"/>
        <w:keepLines/>
        <w:pBdr>
          <w:left w:val="single" w:sz="18" w:space="8" w:color="D97706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D97706"/>
          <w:sz w:val="18"/>
        </w:rPr>
        <w:t xml:space="preserve">会计口径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TPV 不是收入。税款、seller payable、restricted reserve 不是收入或可用现金。基准模型以净平台收入展示，并假设支付通道费基本透传；若审计师要求 gross presentation，收入与 COGS 会同时放大，但 EBITDA 和现金原则上不变。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建议定价架构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2100"/>
        <w:gridCol w:w="2100"/>
        <w:gridCol w:w="2360"/>
        <w:gridCol w:w="130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层级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固定费用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MoR 层费率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典型 Y1 经济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销售方式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Launch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$499/月 + 约 $250/月合规包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约 2.0% eligible TPV + rail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$0.45M TPV / $18k exit ARPA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PLG + assisted onboarding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Scale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$2,000/月 + $1,000/月合规包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约 1.2% + rail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$3.0M TPV / $72k exit ARPA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Assisted sales + partner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Platform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$8,000/月 + $4,000/月合规包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约 0.6% + rail；年度最低承诺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$24M TPV / $288k exit ARPA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Enterprise sale + implementation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Human/card simple front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可包装为无月费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约 4.9% + 固定费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便于与现有 MoR 比较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自助入口；内部仍拆 rail 与 MoR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machine payments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套餐含首批 events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1–2% + rail；prefund/session/day netting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避免每微调用固定卡费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协议/API 原生</w:t>
            </w:r>
          </w:p>
        </w:tc>
      </w:tr>
    </w:tbl>
    <w:p>
      <w:pPr>
        <w:spacing w:before="80" w:after="80"/>
      </w:pPr>
    </w:p>
    <w:p>
      <w:pPr>
        <w:pStyle w:val="SourceNote"/>
        <w:keepNext w:val="0"/>
        <w:keepLines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>公开价格锚点：Paddle 5%+$0.50 [S10]；Polar Starter 5%+$0.50、分层低费率 [S11]；Dodo 4%+$0.40 [S12]；Creem 3.9%+$0.40 [S13]；Stripe Managed Payments 为 MoR 层另加费用 [S14]。实际合同取决于区域、风险、退款率、税务范围和结算复杂度。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复购、续费与扩张逻辑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收入随客户 TPV 和 Agent events 扩张。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即使 logo 数不变，更多国家、更多工具和更多任务类型会提升 NRR。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迁移成本来自事实链而非 API 锁定。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历史 mandate、task evidence、tax、ledger 与 dispute 形成运营系统记录。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合规覆盖具有土地扩张。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客户从一个 corridor、一个 Agent flow 开始，逐步打开国家、支付轨道和供应商 split。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目标留存。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Y2 整体 NRR ≥110%，Y3 ≥115%；Launch/Scale/Platform 的目标 GRR 分别约 80%/88%/92%。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单位经济目标（Y3 假设）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600"/>
        <w:gridCol w:w="2250"/>
        <w:gridCol w:w="2250"/>
        <w:gridCol w:w="22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指标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Launch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Scale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Exit ARPA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$20.6k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$82.4k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$329.8k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Gross margin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64%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64%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64%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Annual logo churn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20%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12%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8%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Target CAC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$14k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$70k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$300k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5-year capped GP-LTV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$65.9k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$263.7k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$1.055M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LTV / CAC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4.7x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3.8x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3.5x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CAC payback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12.7 月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15.9 月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17.1 月</w:t>
            </w:r>
          </w:p>
        </w:tc>
      </w:tr>
    </w:tbl>
    <w:p>
      <w:pPr>
        <w:spacing w:before="80" w:after="80"/>
      </w:pPr>
    </w:p>
    <w:p>
      <w:pPr>
        <w:pStyle w:val="SourceNote"/>
        <w:keepNext w:val="0"/>
        <w:keepLines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>以上全部为 TARGET，不是历史实际。LTV 以五年封顶且不计 NRR 扩张，避免早期留存数据不足导致虚高。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05 · VALIDATION &amp; TRACTION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市场验证与经营数据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没有收入并不可怕，虚构验证才是。当前应展示真实证据边界和可执行的验证系统。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目前能够与不能够声称的内容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可声称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不可声称 / 尚缺证据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企业 AI/API 支出上升；机器支付协议进入生产；开发者明确担忧 Agent 未授权访问；产品与系统规格已完成。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已有强烈客户需求、已有 PMF、已有收入/TPV、已有 LOI/合同、已接入 PSP/税务伙伴、团队拥有某类履历——除非创始团队提供可核验材料。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融资前验证计划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650"/>
        <w:gridCol w:w="2720"/>
        <w:gridCol w:w="2890"/>
        <w:gridCol w:w="2100"/>
      </w:tblGrid>
      <w:tr>
        <w:trPr>
          <w:cantSplit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验证项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目标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通过门槛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证据形式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结构化访谈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30 次：AI app/API 12、Agent tool 8、marketplace 6、enterprise 4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≥40% 将问题列入未来两个季度 Top 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录音/纪要、问题评分、现有成本与触发日期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Design partners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12 家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每周反馈并提供真实流量/事件样本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签署设计合作协议和数据边界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付费意愿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 个 paid pilot 或带金额/日期的 LOI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≥5 家接受 $1k+/月或 ≥0.5% TPV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deposit、订单、PO、合同或付款记录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技术可行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 家全链路 sandbox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quote→mandate→task→evidence→capture→invoice 无人工修复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trace、ledger、invoice 与异常报告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销售管线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$250k+ 加权合格 pipeline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明确 champion、预算、上线日期和法律路径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CRM snapshot 与阶段定义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每次访谈必须量化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现有 PSP、billing、tax、ledger 和人工表格的数量；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月均人工对账、退款和争议处理小时；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销售国家、被阻断国家和导致延迟的合同条款；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未计费用量、credits 泄漏、失败任务与部分交付比例；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平均客单、支付轨道、退款/拒付、税务申报和 seller payout；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支持的 Agent 协议、授权模型、可接受价格与责任边界。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经营仪表盘：从 Day 1 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漏斗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收入/留存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风险/运营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产品/可靠性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Qualified leads、sandbox starts、first quote、first captured task、time-to-first-value、paid conversion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TPV、net revenue yield、exit ARR、GRR/NRR、logo churn、ARPA、cohort GM、CAC/payback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税务准时率、refund/dispute、unrecovered rail/risk leakage、reserve、seller concentration、recon breaks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 success、evidence completeness、mandate rejects、unauthorized spend、P95 latency、control plane SLO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06 · GO-TO-MARKET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获客与增长策略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先占新增 Agent 交易和新国家，不要求客户一次性替换全部 billing。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第一批客户</w:t>
      </w:r>
    </w:p>
    <w:p>
      <w:pPr>
        <w:keepNext w:val="0"/>
        <w:keepLines w:val="0"/>
        <w:spacing w:before="0" w:after="16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0B2545"/>
          <w:sz w:val="22"/>
        </w:rPr>
        <w:t>推出 90 天 Agent Monetization Design Partner 计划：免最低消费、白手套迁移、首年费率锁定；换取每周反馈、真实事件样本和在达到结果后公开案例。首批 10–20 家优先选择月度 usage/TPV $20k–500k、2–20 名工程师、跨境收入 &gt;20%、正在用 Stripe + 表格 + 税务工具拼接的 AI API/tool seller。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Land-and-expand 路径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Land 1 — Agent-only flow。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只把 x402/MPP/MCP/A2A 交易交给本公司，现有人类 checkout 不动。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Land 2 — New corridor。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仅在客户原 MoR 不支持或成本过高的国家启用。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Expand 1 — Meter + Evidence。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把 usage、credits、task acceptance 和 dispute evidence 迁入统一对象。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Expand 2 — Full MoR。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当 tax、refund、payout 与 ledger 价值被证明后扩大交易份额。</w:t>
      </w:r>
    </w:p>
    <w:p>
      <w:pPr>
        <w:keepNext w:val="0"/>
        <w:keepLines/>
        <w:numPr>
          <w:ilvl w:val="0"/>
          <w:numId w:val="11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Expand 3 — Platform。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加入 provider KYA、Task Graph、split payout 与白标控制面。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渠道与销售周期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2940"/>
        <w:gridCol w:w="1350"/>
        <w:gridCol w:w="1880"/>
        <w:gridCol w:w="164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Motion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入口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典型销售周期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CAC 目标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规模化依据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PLG · Launch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GitHub、MCP registry、A2A sample、x402/MPP directory、quickstart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0–14 天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&lt;$500 lead CAC；fully loaded &lt;$14k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自助 sandbox、模板、透明 pricing、迁移导入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Assisted · Scale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社区、内容、伙伴 referral、founder-led outbound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30–60 天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$5–15k acquisition；模型目标 $70k fully loaded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行业模板、ROI calculator、proof-of-value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Platform / Enterprise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PSP、wallet、agent builder、VC/cloud program、direct sales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90–180 天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$30–100k acquisition；模型目标 $300k fully loaded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年度承诺、实施费、security/compliance pack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开发者增长资产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Sandbox + reference agent：一条命令运行 quote→mandate→task→evidence→capture；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Pricing simulator：比较 card、prefund、session netting、stablecoin 与不同 MoR 费率；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Evidence trace explorer：可视化“为何扣款、谁批准、任务做了什么”；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Migration importers：从 Stripe Billing、Polar、Dodo 导入 catalog、price、customer 与 usage；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Protocol adapters：MCP/A2A/x402/MPP 的 production-grade samples，而不是只发布文档；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Partner kits：AI IDE、agent builder、search/browser/data provider 的可嵌入模板。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伙伴优先级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50"/>
        <w:gridCol w:w="3100"/>
        <w:gridCol w:w="2790"/>
        <w:gridCol w:w="202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类别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候选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目标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依赖控制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支付 / 收单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Stripe、Adyen、Checkout.com 等至少双 PSP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卡、银行、本地钱包、稳定币、多地区 routing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数据可迁移；不依赖单一 rail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identity / wallet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Skyfire、Crossmint/Basis Theory、Catena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KYA、mandate、wallet/card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身份与客户归属清晰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税务 / 申报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Avalara、Taxually、重点国家本地伙伴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注册、计算、申报、发票和审计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走廊逐一法律评审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分发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AI IDE、agent builder、MCP/A2A/x402/MPP 生态、云厂商 startup program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prompt-to-commerce 与原生模板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避免 channel concentration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财务系统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QuickBooks、Xero、NetSuite、数据仓库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merchant report、reconciliation、revenue recognition export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统一 ledger 为 source of truth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07 · COMPETITION &amp; MOATS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竞争分析与壁垒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直接 MoR、Agent billing、wallet/bank 与开放协议正在从不同方向汇合。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3906037"/>
            <wp:docPr id="3" name="Picture 3" title="Agent-native MoR 竞争定位图" descr="定性二维图，横轴为 MoR 责任深度，纵轴为 Agent 原生深度，比较主要公司与本公司目标定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ve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3 · 定性判断，不代表市场份额或绝对评分；位置来自公开产品能力的综合推断。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主要竞争者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50"/>
        <w:gridCol w:w="2860"/>
        <w:gridCol w:w="1940"/>
        <w:gridCol w:w="281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类别 / 公司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公开强项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Agent 能力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本公司应对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Stripe Managed Payments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支付、税、稳定币、风险、全球分发；MPP/SPT/x402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机器支付协议和 production cases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协议中立、task evidence、责任链、多 PSP；Stripe 同时是 rail 与最大对手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Paddle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成熟 MoR、10k+ 数字企业、AI builder 分发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Lovable prompt-to-payments、MCP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深挖 Agent 主体/授权/任务与平台级分账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Polar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AI 时代 billing、usage/seat/credits、低阶梯价格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生产/沙箱 MCP server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MoR 责任图、跨协议、task dispute evidence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Dodo Payments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低价、全球覆盖、25k+ builders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Sentra、MCP、Agent Skills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更强的机器交易控制与平台运营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Creem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Indie DX、低价、AI-ready docs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MCP、Claude skills、AI assistant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从 AI 辅助接入提升到 Agent 作为行动者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Nevermined / Paid.ai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Agent metering、delegated spend、action/task/outcome billing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Agent 原生强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以完整 MoR、tax、ledger、refund/dispute 责任差异化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Skyfire / Catena / Crossmint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KYA、wallet、bank、agentic cards、稳定币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Agent identity / spend control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合作优先，同时防范其向责任层上扩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真正的替代方案</w:t>
      </w:r>
    </w:p>
    <w:p>
      <w:pPr>
        <w:keepNext w:val="0"/>
        <w:keepLines w:val="0"/>
        <w:spacing w:before="0" w:after="16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0B2545"/>
          <w:sz w:val="22"/>
        </w:rPr>
        <w:t>早期最大竞争者往往是“不迁移”：Stripe/Adyen + 内部 Billing/Tax + 表格、预充值 credits、人工 invoice/审批、只做 B2B、限制销售国家、延迟税务合规或自建 meter/ledger/refund。它们迁移成本为零，短期风险不显性。因此销售必须以“更快产生原本无法获得的收入”和“降低企业上线阻力”切入，而不是只卖合规。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结构性壁垒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20"/>
        <w:gridCol w:w="4820"/>
        <w:gridCol w:w="2720"/>
      </w:tblGrid>
      <w:tr>
        <w:trPr>
          <w:cantSplit/>
          <w:tblHeader w:val="true"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壁垒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如何形成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领先指标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责任图与 canonical data model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Principal→Agent→Mandate→Task→Evidence→Acceptance→Payment→Tax→Ledger→Dispute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协议映射覆盖率、重放成功率、evidence completeness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监管与运营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实体、合同、税务走廊、客户支持、准备金、损失和外部审计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corridor 数、申报准时率、loss rate、audit exceptions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三本账与确定性对账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buyer/MoR、merchant payable、tax/settlement 分离；不可变 event log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auto-recon、break 数、close time、refund accuracy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风险数据网络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跨商户 Agent/provider reputation、mandate pattern、task acceptance 和 dispute outcomes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风险命中、false positive、cohort loss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协议互操作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REST/MCP/A2A/AP2/UCP/x402/MPP adapters 与版本兼容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adapter adoption、切换成本、multi-rail success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开发者分发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open schemas、samples、builder/IDE/agent framework 原生集成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time-to-first-task、organic installs、partner-sourced ARR</w:t>
            </w:r>
          </w:p>
        </w:tc>
      </w:tr>
    </w:tbl>
    <w:p>
      <w:pPr>
        <w:spacing w:before="80" w:after="80"/>
      </w:pPr>
    </w:p>
    <w:p>
      <w:pPr>
        <w:spacing w:before="100" w:after="200" w:line="290" w:lineRule="auto"/>
        <w:shd w:fill="E7F5F1"/>
        <w:keepNext w:val="0"/>
        <w:keepLines/>
        <w:pBdr>
          <w:left w:val="single" w:sz="18" w:space="8" w:color="0F766E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不把 API 锁定当壁垒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产品应支持开放导出与清晰对象规范。真正壁垒来自合规执行、风险结果、账本完整性、数据网络和分发，而不是让客户无法离开。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08 · OPERATING MODEL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技术、合规与运营模型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MoR 是软件与责任运营的组合；只做代码或只做人力都无法形成健康毛利。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法律与资金角色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4310"/>
        <w:gridCol w:w="355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角色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合同 / 资金责任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系统记录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 / Buyer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授权 Agent、承担购买预算和适用条款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principal、mandate、payment credential authorization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Provider / Agent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通常不是法律买方；代表 Principal 行动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provider、definition、release、instance、session/task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向 Buyer 销售、计税/开票、处理退款争议、向 Supplier 结算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sale、invoice、tax liability、buyer support、seller payable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Supplier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向 MoR 提供数字服务并对交付负责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KYB/KYA、catalog、task evidence、payable、reserve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PSP / Network / Wallet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资金处理、凭证、清算或稳定币 rail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authorization、capture、fees、settlement、chargeback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三本账与现金隔离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050"/>
        <w:gridCol w:w="4140"/>
        <w:gridCol w:w="317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账 / 资金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内容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原则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Commerce ledger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Quote、Bill、Invoice、Refund、Dispute 与收入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每个财务对象可追溯到 mandate/task/evidence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Merchant payable ledger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Supplier gross、fee、reserve、refund allocation、payout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payable 不是收入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 / settlement ledger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税负债、PSP settlement、FX、network fees、restricted reserve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税款与受限资金不是运营现金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Unrestricted operating cash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股权融资、净收入、经营支出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唯一用于 runway 的现金口径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Risk / settlement facility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拒付、退款、结算时间差和保证金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独立额度；不可用于 payroll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P0 风险控制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No prompt → payment。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自然语言不能直接形成不可撤销扣款；必须经过结构化 quote、policy 和 mandate。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Reserve before work。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高成本 task 在执行前预留预算或资金，防止完成后无法收款。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Least privilege。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授权限定时间、任务、supplier、金额、频率、区域和支付轨道。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Step-up。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超预算、新 supplier、新国家、异常速度、敏感品类或 evidence 缺失时回到人类。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Idempotency + deterministic replay。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重复调用、网络重试和协议转换不得造成重复扣款或重复结算。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Evidence before capture。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需要交付证据的 task 未达到 acceptance，不得全额 capture。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规模化 SLO 与运营指标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200"/>
        <w:gridCol w:w="1600"/>
        <w:gridCol w:w="16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M12 Target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M24 Target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发布阻断条件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Control-plane availability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≥99.9%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≥99.95%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支付/授权关键路径无降级方案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Automated reconciliation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≥99.9%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≥99.99%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账本不平或无法解释 settlement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 filing on time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100%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100%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任何法域漏报或迟报未处置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 completeness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≥85%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&gt;90%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需证据交易却无法关联 task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Net fraud / credit loss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&lt;0.75% TPV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&lt;0.5% TPV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reserve 不能覆盖 stress case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Unauthorized spend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0 material event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0 material event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 bypass 或跨主体扣款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09 · TEAM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团队与组织设计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投资人首先需要验证的不是岗位表，而是核心创始人是否同时理解 AI runtime、支付账本、MoR 合规与开发者产品。</w:t>
      </w:r>
    </w:p>
    <w:p>
      <w:pPr>
        <w:spacing w:before="100" w:after="200" w:line="290" w:lineRule="auto"/>
        <w:shd w:fill="FFF3E0"/>
        <w:keepNext w:val="0"/>
        <w:keepLines/>
        <w:pBdr>
          <w:left w:val="single" w:sz="18" w:space="8" w:color="D97706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D97706"/>
          <w:sz w:val="18"/>
        </w:rPr>
        <w:t xml:space="preserve">ACTUAL / TBD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尚未收到创始人和核心成员姓名、履历、股权、全职状态或关键成就。以下是必须补齐的投资人版本结构，不是对现有团队的虚构。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创始与核心团队页模板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900"/>
        <w:gridCol w:w="1150"/>
        <w:gridCol w:w="3320"/>
        <w:gridCol w:w="299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角色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实际成员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必须证明的能力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应提供的证据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CEO / GM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[TBD]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AI/开发者市场、支付/MoR、融资与伙伴生态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过往产品/收入/团队结果、客户关系、全职承诺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CTO / Chief Architect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[TBD]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分布式系统、ledger、identity/policy、Agent protocols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可审查系统、规模与安全经历、代码/架构 ownership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Head of Risk / Legal / MoR Ops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[TBD]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支付风险、消费者责任、制裁、KYB/KYA、MoR 运营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持牌机构/PSP/税务项目经历、外部顾问网络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 / Finance Lead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[TBD]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跨境数字税、申报、reconciliation、revenue recognition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法域落地、close/audit、财务系统经验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Founding Product / Design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[TBD]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开发者 DX、Agent UX、复杂控制面与异常设计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可用产品、time-to-value 与 adoption 数据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团队为什么适合解决这个问题：验证框架</w:t>
      </w:r>
    </w:p>
    <w:p>
      <w:pPr>
        <w:keepNext w:val="0"/>
        <w:keepLines w:val="0"/>
        <w:spacing w:before="0" w:after="16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0B2545"/>
          <w:sz w:val="22"/>
        </w:rPr>
        <w:t>只有在真实履历同时覆盖以下至少三项，并对第四项有明确补强时，才可声称 founder-market fit：① 开发者平台/API 规模化；② 支付、账本或金融风控；③ 跨境税务/MoR 运营；④ Agent runtime、identity、policy 或协议。投资人应要求每位核心成员用可量化结果，而非公司 Logo，证明能力。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人员计划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1200"/>
        <w:gridCol w:w="3850"/>
        <w:gridCol w:w="261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时期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期末 FTE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主要新增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组织目标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M0–6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8–10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Founding Eng、ledger/payments、product、risk/compliance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Sandbox P0 与 Gate 0；责任 owner 清晰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M6–12 / Y1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10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 ops、platform eng、developer relations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Controlled production、2 rails、首批 18 客户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M12–24 / Y2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18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SRE/security、buyer support、sales/partnerships、finance ops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55 客户、$2.38M exit ARR、外部审计准备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Y3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30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Platform sales、corridor ops、risk data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$8.27M exit ARR、64% GM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Y5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68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多地区运营与 enterprise coverage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$43.18M exit ARR、EBITDA 转正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关键人才缺口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拥有真实 MoR 法律实体、税务注册和争议运营经验的 senior operator；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能设计 immutable double-entry ledger、settlement reconciliation 和 financial controls 的工程负责人；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既理解 Agent identity/mandate 又能落地 enterprise security 的安全负责人；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在目标 corridor 有本地消费者法、税务和 PSP 网络的 counsel/partner；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能以开发者社区 + enterprise partnership 混合模式增长的 GTM leader。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10 · 18–24 MONTH PLAN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发展计划与里程碑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本轮融资不是购买时间，而是购买一组可验证、可进入下一轮融资的事实。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06440" cy="3297314"/>
            <wp:docPr id="4" name="Picture 4" title="Agent-native MoR 24 个月路线图" descr="从 Gate 0、Sandbox、Controlled Live、Scale 到 Series A Proof 的五阶段路线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24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4 · 所有客户、ARR、TPV 和团队数字均为 TARGET。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阶段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20"/>
        <w:gridCol w:w="3240"/>
        <w:gridCol w:w="2420"/>
        <w:gridCol w:w="2280"/>
      </w:tblGrid>
      <w:tr>
        <w:trPr>
          <w:cantSplit/>
          <w:tblHeader w:val="true"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阶段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产品 / 合规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商业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可验证 Gate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M0–3 · Gate 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冻结责任边界、实体/伙伴路径、P0 schema 和 threat model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30 访谈、12 design partners、2 套真实报价测试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≥5 家付费意愿；3 家愿导入真实流量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M3–6 · Sandbox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Principal/Mandate/Task/Meter/Evidence/Quote/Ledger；REST/MCP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3–5 家 sandbox 集成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3 条完整 trace；账本平衡；无 prompt→payment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M6–12 · Controlled Live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A2A/x402/MPP Beta；2 PSP；首个 tax corridor；refund/dispute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18 付费客户；$0.54M exit ARR；$18.3M exit TPV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GM 52%；首份公开案例；首个外部控制评审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M12–18 · Scale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AP2/UCP/SPT adapters；自动对账；外部税务/账本审计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约 35 客户；Scale/Platform pipeline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Auto-recon ≥99.99%；evidence &gt;90%；0 material unauthorized spend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M18–24 · Series A Proof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多 corridor、split/netting、security/SOC 2 readiness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55 客户；$2.38M exit ARR；约 $100–120M exit TPV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GM 58%；2 rails；loss &lt;0.5%；tax on-time 100%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本轮能达到什么下一轮节点</w:t>
      </w:r>
    </w:p>
    <w:p>
      <w:pPr>
        <w:spacing w:before="100" w:after="200" w:line="290" w:lineRule="auto"/>
        <w:shd w:fill="E7F5F1"/>
        <w:keepNext w:val="0"/>
        <w:keepLines/>
        <w:pBdr>
          <w:left w:val="single" w:sz="18" w:space="8" w:color="0F766E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Series A 叙事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公司已证明 Agent 交易需要独立责任层；已在真实资金和税务流中运行；至少两条支付轨道与一个可复制 corridor；客户从 Launch 向 Scale/Platform 扩张；cohort gross margin、loss、reconciliation 与 NRR 支持可规模化。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停止 / 调整条件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950"/>
        <w:gridCol w:w="4740"/>
        <w:gridCol w:w="3670"/>
      </w:tblGrid>
      <w:tr>
        <w:trPr>
          <w:cantSplit/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时间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红线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动作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M3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&lt;5 家愿意付费或问题不进 Top 3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缩窄到 usage billing/evidence；不提前承担完整 MoR 成本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M6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 家无法跑通完整 sandbox 或责任边界无法签约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暂停 corridor 扩张；重构对象/伙伴路径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M12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GM &lt;45%、rail leakage 不可透传或争议率高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提高最低费、强制 netting/prefund、退出低价值流量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M18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NRR &lt;100%、enterprise pipeline 弱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聚焦高留存垂直；削减平台化投入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M21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Series A 未形成 lead 且 runway &lt;9 月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冻结招聘、延后 corridor、启动 bridge/战略伙伴方案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11 · FINANCIAL PLAN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财务预测与关键假设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配套工作簿提供 60 个月、Bear/Base/Bull、单位经济、现金和 checks；本节展示投资决策所需的主要输出。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760720" cy="3400542"/>
            <wp:docPr id="5" name="Picture 5" title="Agent-native MoR 五年财务趋势" descr="基准情景下 Y1 至 Y5 的净收入、退出 ARR 和 EBITDA 趋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trajec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5 · Y5 基准净收入 $33.0M、exit ARR $43.2M、EBITDA $2.1M。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基准情景五年预测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670"/>
        <w:gridCol w:w="1338"/>
        <w:gridCol w:w="1338"/>
        <w:gridCol w:w="1338"/>
        <w:gridCol w:w="1338"/>
        <w:gridCol w:w="1338"/>
      </w:tblGrid>
      <w:tr>
        <w:trPr>
          <w:cantSplit/>
          <w:tblHeader w:val="true"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USD million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Y1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Y2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Y3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Y4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Y5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Year-end customers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18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55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155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335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600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Annual TPV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$9.15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$70.03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$303.43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$919.73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$2,174.57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Exit ARR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$0.54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$2.38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$8.27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$21.08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$43.18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Net revenue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$0.27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$1.48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$5.41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$14.99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$32.98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Gross margin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52%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58%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64%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69%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73%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Operating expenses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($2.25)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($4.11)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($7.42)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($13.39)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($21.99)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EBITDA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($2.11)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($3.25)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($3.96)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($3.05)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$2.09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Free cash flow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($2.26)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($3.50)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($4.41)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($3.80)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$1.19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Year-end FTE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10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18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30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48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68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三种情景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1450"/>
        <w:gridCol w:w="1450"/>
        <w:gridCol w:w="1450"/>
        <w:gridCol w:w="346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Y5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Bear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Base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Bull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主要驱动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Customers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300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600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1,000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Base 60% / 100% / 166.7% 的目标曲线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Net revenue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$11.74M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$32.98M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$64.94M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客户、TPV/客户与 take-rate multiplier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Exit ARR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$16.03M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$43.18M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$87.72M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同上；期末 run-rate 而非年度确认收入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Gross margin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67%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73%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77%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规模、自动化、loss/rail leakage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EBITDA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($6.99M)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$2.09M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$18.75M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Bear 已主动延后招聘但仍需战略调整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Free cash flow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($7.57M)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$1.19M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$17.49M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含 capex / ΔNWC，不含融资流入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关键假设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00"/>
        <w:gridCol w:w="2320"/>
        <w:gridCol w:w="52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假设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Base</w:t>
            </w:r>
          </w:p>
        </w:tc>
        <w:tc>
          <w:tcPr>
            <w:tcW w:type="dxa" w:w="5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为什么合理 / 如何验证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客户曲线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18→55→155→335→600</w:t>
            </w:r>
          </w:p>
        </w:tc>
        <w:tc>
          <w:tcPr>
            <w:tcW w:type="dxa" w:w="5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PLG + assisted + platform 混合；每季度用 CRM、conversion 和 cohort 替换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Segment Y1 exit ARPA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$18k / $72k / $288k</w:t>
            </w:r>
          </w:p>
        </w:tc>
        <w:tc>
          <w:tcPr>
            <w:tcW w:type="dxa" w:w="52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固定费 + 合规包 + eligible TPV take rate；用 pilot quote 验证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TPV / customer growth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13.6%/年</w:t>
            </w:r>
          </w:p>
        </w:tc>
        <w:tc>
          <w:tcPr>
            <w:tcW w:type="dxa" w:w="5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使用量、国家和 Agent flows 扩张；模型不计 NRR 上行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Gross margin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52%→73%</w:t>
            </w:r>
          </w:p>
        </w:tc>
        <w:tc>
          <w:tcPr>
            <w:tcW w:type="dxa" w:w="52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rail pass-through、自动对账、risk/vendor cost scale；按 cohort 监控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Headcount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10→18→30→48→68</w:t>
            </w:r>
          </w:p>
        </w:tc>
        <w:tc>
          <w:tcPr>
            <w:tcW w:type="dxa" w:w="5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受 Gate 控制；Bear 延后到 48，Bull 提前到 100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Current Seed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$6.5M gross / $6.305M net</w:t>
            </w:r>
          </w:p>
        </w:tc>
        <w:tc>
          <w:tcPr>
            <w:tcW w:type="dxa" w:w="52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3% 融资费；加 $0.25M 假设起始可用现金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Future financing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$12M at M22 · illustrative</w:t>
            </w:r>
          </w:p>
        </w:tc>
        <w:tc>
          <w:tcPr>
            <w:tcW w:type="dxa" w:w="5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仅用于展示规模化现金路径；不是承诺或本轮用途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Burn、现金与 runway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100"/>
        <w:gridCol w:w="2250"/>
        <w:gridCol w:w="501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指标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Base 结果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Y1 FCF burn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$2.26M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平均约 $0.19M/月；年内随招聘上升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Y2 FCF burn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$3.50M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平均约 $0.29M/月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Current-round-only cash · M24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$0.79M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未计 $12M illustrative Series 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Current-round-only runway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约 26 个月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M15 启动、M20–22 完成下一轮；保持 ≥$1M 安全线时需更早行动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Risk / settlement facility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$2.5M · separate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不进入 runway；用于拒付、退款、结算和保证金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主要敏感性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Take rate -10 bps。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按 Y5 约 $2.17B annual TPV，收入/EBITDA 约减少 $2.17M，未考虑行为变化。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未透传成本 +10 bps。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Y5 EBITDA 同样约减少 $2.17M。rail leakage 是最高优先级指标之一。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客户数 ±10%。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Y5 收入约变化 ±$3.3M，毛利约变化 ±$2.4M。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许可/税务延迟 6 个月。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不仅下调收入，还应延后客户上线、TPV 与 corridor，同时保留合规固定成本。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Churn 高 5pt。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多 cohort 累积后 Y5 客户和收入可能低约 8–12%；不能只调当年 logo。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12 · FINANCING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融资方案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基准案以“融资关闭前已完成 MVP + 5–10 design partners”为前提；未达到则降低轮次和承诺。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本轮计划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180"/>
        <w:gridCol w:w="7180"/>
      </w:tblGrid>
      <w:tr>
        <w:trPr>
          <w:cantSplit/>
          <w:tblHeader w:val="true"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项目</w:t>
            </w:r>
          </w:p>
        </w:tc>
        <w:tc>
          <w:tcPr>
            <w:tcW w:type="dxa" w:w="7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方案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Equity</w:t>
            </w:r>
          </w:p>
        </w:tc>
        <w:tc>
          <w:tcPr>
            <w:tcW w:type="dxa" w:w="7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$6.5M Seed；预计融资费用 3%，净运营资金约 $6.305M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Separate facility</w:t>
            </w:r>
          </w:p>
        </w:tc>
        <w:tc>
          <w:tcPr>
            <w:tcW w:type="dxa" w:w="71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$2.5M 非稀释性 settlement / risk reserve facility；与运营现金隔离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Runway</w:t>
            </w:r>
          </w:p>
        </w:tc>
        <w:tc>
          <w:tcPr>
            <w:tcW w:type="dxa" w:w="7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约 26 个月 current-round-only；以最低 $1M unrestricted cash 为安全线时应更早融资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Series A process</w:t>
            </w:r>
          </w:p>
        </w:tc>
        <w:tc>
          <w:tcPr>
            <w:tcW w:type="dxa" w:w="71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M15 启动；M20–22 目标完成；模型中的 $12M 仅为 illustrative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估值 / 条款</w:t>
            </w:r>
          </w:p>
        </w:tc>
        <w:tc>
          <w:tcPr>
            <w:tcW w:type="dxa" w:w="7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本版不写；待团队、traction、法律路径和 lead investor 反馈后决定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历史融资 / 创始人投入</w:t>
            </w:r>
          </w:p>
        </w:tc>
        <w:tc>
          <w:tcPr>
            <w:tcW w:type="dxa" w:w="71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ACTUAL / TBD；必须在投资人版和 data room 补充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资金用途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700"/>
        <w:gridCol w:w="850"/>
        <w:gridCol w:w="1200"/>
        <w:gridCol w:w="461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用途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金额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可验证产出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Product / engineering / data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42%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$2.73M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Canonical objects、SDK/MCP/A2A、ledger、sandbox、observability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Legal / compliance / risk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$1.30M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structure、tax corridors、policies、外部控制评审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Payments / tax integrations &amp; ops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15%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$0.98M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 PSP、tax filing、payout、reconciliation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GTM / developer relations / channels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12%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$0.78M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Design partners、55 客户、案例与伙伴分发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Security / data / certifications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$0.46M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 integrity、SLO、SOC 2 readiness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G&amp;A / contingency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4%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$0.26M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公司运营与执行缓冲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Total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100%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$6.50M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24 个月 Series A proof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Stage-gated 融资选择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600"/>
        <w:gridCol w:w="1900"/>
        <w:gridCol w:w="1300"/>
        <w:gridCol w:w="35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融资关闭时阶段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推荐金额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Runway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本轮必须达到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Pre-MVP / 无可核验 design partners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$3.0–3.5M pre-seed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15–18 月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12 design partners、5 paid pilots、3 sandbox full-chain proofs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MVP + 5–10 design partners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$6.5M Seed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约 26 月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55 客户、$2.38M exit ARR、2 PSP、可审计 MoR 运营</w:t>
            </w:r>
          </w:p>
        </w:tc>
      </w:tr>
    </w:tbl>
    <w:p>
      <w:pPr>
        <w:spacing w:before="80" w:after="80"/>
      </w:pPr>
    </w:p>
    <w:p>
      <w:pPr>
        <w:spacing w:before="100" w:after="200" w:line="290" w:lineRule="auto"/>
        <w:shd w:fill="E7F5F1"/>
        <w:keepNext w:val="0"/>
        <w:keepLines/>
        <w:pBdr>
          <w:left w:val="single" w:sz="18" w:space="8" w:color="0F766E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融资后核心里程碑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不是“完成更多功能”，而是把 12 家 design partners 转化为真实资金和税务流；证明 unit economics 与风险损失；形成 3 个可公开案例；在下一轮前让投资人能从 trace、ledger、invoice 和 cohort data 验证全部商业事实。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13 · RISKS &amp; MITIGATION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主要风险与应对</w:t>
      </w:r>
    </w:p>
    <w:p>
      <w:pPr>
        <w:keepNext w:val="0"/>
        <w:keepLines w:val="0"/>
        <w:spacing w:before="0" w:after="20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667085"/>
          <w:sz w:val="20"/>
        </w:rPr>
        <w:t>明显风险不应隐藏；管理能力体现在能否定义风险、领先指标、所有者和停止条件。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50"/>
        <w:gridCol w:w="2040"/>
        <w:gridCol w:w="2110"/>
        <w:gridCol w:w="376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风险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影响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领先指标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应对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Agent 交易增长慢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市场教育期延长、TPV 不达标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Agent flows、first task、customer activation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同时服务当前 AI API/usage/cross-border，不将收入全押 autonomous agents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Stripe/Paddle 等上扩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价格、分发和合规优势压缩空间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协议/Agent roadmap、win/loss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协议中立、task evidence、multi-PSP、platform settlement；聚焦责任链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协议碎片与赢家未定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重复集成、版本成本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adapter usage、breaking changes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canonical objects 与 adapter 解耦；不创造封闭协议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MoR 法律/税务责任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罚款、禁售、声誉与高固定成本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申报异常、corridor exception、counsel findings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有限品类/走廊起步；外部意见；持牌伙伴；逐 Gate 扩张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Agent 未授权或错误支付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直接损失、客户信任崩塌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mandate rejects、step-up、unauthorized attempts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least privilege、reserve、limits、human step-up、signed evidence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任务质量与争议语义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退款/争议高、难以验收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partial acceptance、evidence gaps、dispute reason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品类级 acceptance templates；不支持不可验证 outcome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微支付经济不成立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固定 rail cost 和 runtime cost吞噬毛利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revenue/task、rail leakage、netting ratio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prefund、session/day netting、最低结算额、退出低价值流量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准备金与运营现金混淆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runway 虚高、资金挪用风险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restricted/unrestricted cash、reserve coverage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三本账、独立 facility、董事会现金政策、每日对账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客户/PSP 集中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单点流失或合同变化冲击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Top-10 TPV、PSP share、corridor share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双 PSP、数据可迁移、客户与地域限额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团队能力缺口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产品可做但责任运营失败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关键岗位空缺、audit exceptions、close delay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先补 Risk/Tax/Ledger leadership，再加速 GTM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后续融资风险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Y3 前现金断裂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runway、Series A meetings、milestone variance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M15 启动；招聘与 corridor 受 Gate 控制；bridge/战略伙伴备选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董事会每月应看的 10 个指标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商业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经济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风险 / 运营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现金 / 融资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Paid customers · exit ARR · pipeline coverage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Blended net revenue yield · cohort GM · CAC payback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Unrecovered rail/risk leakage · tax on-time · reconciliation breaks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Restricted vs unrestricted cash · runway · milestone variance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APPENDIX A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投资人数据室与 ACTUAL / TBD 清单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对外发送前必须补齐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50"/>
        <w:gridCol w:w="4520"/>
        <w:gridCol w:w="309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类别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必须提供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最低证据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公司与法律实体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公司名、注册地、股权结构、MoR 实体、服务条款、隐私与数据流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注册文件、cap table、counsel memo、合同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团队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姓名、角色、全职日期、履历、相关业绩、持股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CV/LinkedIn、reference、过去产品/收入/系统数据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产品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repo、部署、架构、security、roadmap、上线状态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demo、code review、SOC/control plan、incident log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客户证据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访谈、design partner、LOI、pilot、合同、案例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原始纪要、签署文件、付款/PO、客户 reference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经营数据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收入、TPV、客户、conversion、retention、churn、GM、loss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billing/PSP/ledger/CRM export 与 cohort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伙伴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PSP、税务、银行、wallet、身份和结算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签署合同、sandbox/production status、费率与责任表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财务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历史融资、创始人投入、当前现金、burn、应付/准备金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bank statement、GL、management accounts、融资文件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合规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税务注册、制裁/KYB/KYA、消费者责任、数据保护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policy、risk assessment、外部意见、申报记录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建议的数据室目录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01 Corporate &amp; Cap Table · 02 Team &amp; References · 03 Product &amp; Security · 04 Market &amp; Customer Research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05 Contracts / LOI / Pipeline · 06 Payments / Tax / Banking Partners · 07 Financials &amp; Model · 08 Legal / Compliance / Risk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09 Board / Governance · 10 IP / Open-source / Protocol Dependencies · 11 KPIs / Cohorts · 12 Fundraise Materials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模型与本文同步规则</w:t>
      </w:r>
    </w:p>
    <w:p>
      <w:pPr>
        <w:keepNext w:val="0"/>
        <w:keepLines w:val="0"/>
        <w:spacing w:before="0" w:after="16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0B2545"/>
          <w:sz w:val="22"/>
        </w:rPr>
        <w:t>任何 Actual 替换都必须同时更新：① Business Plan 正文；② 配套 Excel 的 Assumptions 与 Sources；③ Executive Summary；④ 财务情景；⑤ 融资用途和 runway。Exit ARR、年度确认收入、TPV、税款与 restricted cash 必须保持不同口径，不得混用。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APPENDIX B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来源、口径与局限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市场、协议与监管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[S1] Menlo Ventures — 2025 State of Generative AI in the Enterprise · </w:t>
      </w:r>
      <w:hyperlink r:id="rId16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495 位美国企业决策者 + bottoms-up；VC 研究，不是官方全球统计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[S2] Postman — 2025 State of the API · </w:t>
      </w:r>
      <w:hyperlink r:id="rId17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5,700+ 全球样本；API 社群存在选择偏差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[S3] Postman — About · </w:t>
      </w:r>
      <w:hyperlink r:id="rId18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50 万公司；用于透明 TAM proxy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[S4] Stanford HAI — 2026 AI Index Report · </w:t>
      </w:r>
      <w:hyperlink r:id="rId19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Agent 能力与组织采用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[S5] Stanford HAI — 2026 AI Index Chapter 4: Economy · </w:t>
      </w:r>
      <w:hyperlink r:id="rId20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Quid 融资公司与投资数据；遗漏 bootstrapped 公司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[S6] Stripe — 2025 Update · </w:t>
      </w:r>
      <w:hyperlink r:id="rId21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全球化与平台规模；公司自报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[S7] Stripe / Tempo — Machine Payments Protocol · </w:t>
      </w:r>
      <w:hyperlink r:id="rId22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2026-03-18；微支付、周期支付、SPT 和 production cases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[S8] x402 — live network site · </w:t>
      </w:r>
      <w:hyperlink r:id="rId23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2026-07-14 动态 30 天快照；不得直接年化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[S9] European Commission — VAT in the Digital Age · </w:t>
      </w:r>
      <w:hyperlink r:id="rId2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监管时间和方向；不构成法律意见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竞品与价格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[S10] Paddle Pricing · </w:t>
      </w:r>
      <w:hyperlink r:id="rId25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公开 list price，实际企业合同可能不同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[S11] Polar Pricing · </w:t>
      </w:r>
      <w:hyperlink r:id="rId26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公开 pricing tiers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[S12] Dodo Payments Pricing · </w:t>
      </w:r>
      <w:hyperlink r:id="rId27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公开 list price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[S13] Creem Pricing · </w:t>
      </w:r>
      <w:hyperlink r:id="rId28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公开 list price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[S14] Stripe Pricing / Managed Payments · </w:t>
      </w:r>
      <w:hyperlink r:id="rId29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MoR 层与 payments fee 需分开理解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[S15] Polar Seed Announcement · </w:t>
      </w:r>
      <w:hyperlink r:id="rId30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$10M Seed；仅作融资信号，不是估值基准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[S16] Crossmint Financing · </w:t>
      </w:r>
      <w:hyperlink r:id="rId31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相邻 Agent finance infrastructure 信号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协议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[S17] MCP Specification 2025-11-25 · </w:t>
      </w:r>
      <w:hyperlink r:id="rId32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工具与资源调用，不承担支付责任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[S18] A2A v1.0 · </w:t>
      </w:r>
      <w:hyperlink r:id="rId33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Agent 通信、任务与 artifact transport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[S19] AP2 Specification · </w:t>
      </w:r>
      <w:hyperlink r:id="rId3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Mandate evidence layer，不是法定销售方</w:t>
      </w:r>
    </w:p>
    <w:p>
      <w:pPr>
        <w:pStyle w:val="SourceNote"/>
        <w:keepNext w:val="0"/>
        <w:keepLines/>
        <w:spacing w:before="80" w:after="80"/>
        <w:widowControl/>
      </w:pPr>
      <w:r>
        <w:rPr>
          <w:rFonts w:ascii="Noto Sans SC" w:hAnsi="Noto Sans SC" w:eastAsia="Noto Sans SC" w:cs="Noto Sans SC"/>
          <w:b/>
          <w:i w:val="0"/>
          <w:color w:val="667085"/>
          <w:sz w:val="15"/>
        </w:rPr>
        <w:t xml:space="preserve">[S20] UCP Core Concepts · </w:t>
      </w:r>
      <w:hyperlink r:id="rId35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链接</w:t>
        </w:r>
      </w:hyperlink>
      <w:r>
        <w:rPr>
          <w:rFonts w:ascii="Noto Sans SC" w:hAnsi="Noto Sans SC" w:eastAsia="Noto Sans SC" w:cs="Noto Sans SC"/>
          <w:b w:val="0"/>
          <w:i w:val="0"/>
          <w:color w:val="667085"/>
          <w:sz w:val="15"/>
        </w:rPr>
        <w:t xml:space="preserve"> · Commerce objects 和 payment handlers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关键局限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Menlo 为 VC 研究且样本仅美国企业；适合方向和预算信号，不宜当全球官方统计。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Postman 的 50 万公司与 65%/24% 调研不是同一总体；TAM/SAM 是透明 proxy。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Stripe、Paddle、Polar、Dodo、Creem 与 x402 为平台自报，可能存在客户结构和活动偏差。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Stanford/Quid 融资公司口径遗漏 bootstrapped 公司，也不代表每家公司已商业化。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本 BP 的筛选比例、ARPA、客户曲线、成本、留存和融资均为假设，必须以 design partner、CRM、合同和账本数据替换。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本文不是法律、税务、会计、牌照、证券或投资意见；每个实体、法域和交易路径需专项评审。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F766E"/>
          <w:sz w:val="17"/>
        </w:rPr>
        <w:t>CLOSING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结论：先证明责任层，再扩张交易层</w:t>
      </w:r>
    </w:p>
    <w:p>
      <w:pPr>
        <w:spacing w:before="100" w:after="200" w:line="290" w:lineRule="auto"/>
        <w:shd w:fill="E7F5F1"/>
        <w:keepNext w:val="0"/>
        <w:keepLines/>
        <w:pBdr>
          <w:left w:val="single" w:sz="18" w:space="8" w:color="0F766E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投资命题  </w:t>
      </w:r>
      <w:r>
        <w:rPr>
          <w:rFonts w:ascii="Noto Sans SC" w:hAnsi="Noto Sans SC" w:eastAsia="Noto Sans SC" w:cs="Noto Sans SC"/>
          <w:b w:val="0"/>
          <w:i w:val="0"/>
          <w:color w:val="0B2545"/>
          <w:sz w:val="21"/>
        </w:rPr>
        <w:t>Agent-native MoR 的机会不在替 Agent 点击 checkout，而在让自主行动具备法律主体、预算授权、任务证据、税务凭证、账本事实和可逆售后。若公司能在 24 个月内把这条责任链跑进真实资金流，并保持可解释的毛利和损失率，它将成为 Agent-to-Agent 经济中的基础商业层。</w:t>
      </w:r>
    </w:p>
    <w:p>
      <w:pPr>
        <w:keepNext w:val="0"/>
        <w:keepLines w:val="0"/>
        <w:spacing w:before="0" w:after="160" w:line="320" w:lineRule="auto"/>
        <w:jc w:val="both"/>
        <w:widowControl/>
      </w:pPr>
      <w:r>
        <w:rPr>
          <w:rFonts w:ascii="Noto Sans SC" w:hAnsi="Noto Sans SC" w:eastAsia="Noto Sans SC" w:cs="Noto Sans SC"/>
          <w:b w:val="0"/>
          <w:i w:val="0"/>
          <w:color w:val="0B2545"/>
          <w:sz w:val="22"/>
        </w:rPr>
        <w:t>下一步不是继续增加概念，而是补齐 ACTUAL：创始团队、客户、合同、伙伴、法律实体、现金与代码。完成 Gate 0 后，再用本计划的 60 个月模型、停止条件和里程碑管理融资与执行。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3950"/>
        <w:gridCol w:w="5410"/>
      </w:tblGrid>
      <w:tr>
        <w:trPr>
          <w:cantSplit/>
          <w:tblHeader w:val="true"/>
        </w:trPr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配套交付物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Agent_Native_MoR_5Y_Financial_Model_2026.xlsx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可调三情景、60 个月、客户/ARPA/TPV、单位经济、融资、现金、checks 与 sources</w:t>
            </w:r>
          </w:p>
        </w:tc>
      </w:tr>
      <w:tr>
        <w:trPr>
          <w:cantSplit/>
        </w:trPr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Agent_Native_MoR_End_to_End_Product_Spec_2026_CN.docx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主体、Task、计费、支付协议、税务、账本、风险与 UX 的 build-ready 规格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SC" w:hAnsi="Noto Sans SC" w:eastAsia="Noto Sans SC" w:cs="Noto Sans SC"/>
        <w:b w:val="0"/>
        <w:i w:val="0"/>
        <w:color w:val="667085"/>
        <w:sz w:val="15"/>
      </w:rPr>
      <w:t xml:space="preserve">[公司名] · Investor Draft · </w:t>
    </w:r>
    <w:r>
      <w:rPr>
        <w:rFonts w:ascii="Noto Sans SC" w:hAnsi="Noto Sans SC" w:eastAsia="Noto Sans SC" w:cs="Noto Sans SC"/>
        <w:b w:val="0"/>
        <w:i w:val="0"/>
        <w:color w:val="52616B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pBdr>
        <w:bottom w:val="single" w:sz="4" w:color="D0D5DD" w:space="6"/>
      </w:pBdr>
    </w:pPr>
    <w:r>
      <w:rPr>
        <w:rFonts w:ascii="Noto Sans SC" w:hAnsi="Noto Sans SC" w:eastAsia="Noto Sans SC" w:cs="Noto Sans SC"/>
        <w:b/>
        <w:i w:val="0"/>
        <w:color w:val="667085"/>
        <w:sz w:val="15"/>
      </w:rPr>
      <w:t>AGENT-NATIVE MoR · BUSINESS PLAN</w:t>
    </w:r>
    <w:r>
      <w:rPr>
        <w:rFonts w:ascii="Noto Sans SC" w:hAnsi="Noto Sans SC" w:eastAsia="Noto Sans SC" w:cs="Noto Sans SC"/>
        <w:b w:val="0"/>
        <w:i w:val="0"/>
        <w:color w:val="667085"/>
        <w:sz w:val="15"/>
      </w:rPr>
      <w:tab/>
      <w:t>CONFIDENTIAL · 2026.07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 SC" w:hAnsi="Noto Sans SC" w:eastAsia="Noto Sans SC"/>
        <w:color w:val="087E8B"/>
      </w:rPr>
    </w:lvl>
    <w:lvl w:ilvl="1">
      <w:start w:val="1"/>
      <w:numFmt w:val="bullet"/>
      <w:lvlText w:val="•"/>
      <w:suff w:val="tab"/>
      <w:pPr>
        <w:tabs>
          <w:tab w:val="num" w:pos="810"/>
        </w:tabs>
        <w:ind w:left="810" w:hanging="270"/>
      </w:pPr>
      <w:rPr>
        <w:rFonts w:ascii="Noto Sans SC" w:hAnsi="Noto Sans SC" w:eastAsia="Noto Sans SC"/>
        <w:color w:val="087E8B"/>
      </w:rPr>
    </w:lvl>
    <w:lvl w:ilvl="2">
      <w:start w:val="1"/>
      <w:numFmt w:val="bullet"/>
      <w:lvlText w:val="•"/>
      <w:suff w:val="tab"/>
      <w:pPr>
        <w:tabs>
          <w:tab w:val="num" w:pos="1080"/>
        </w:tabs>
        <w:ind w:left="1080" w:hanging="270"/>
      </w:pPr>
      <w:rPr>
        <w:rFonts w:ascii="Noto Sans SC" w:hAnsi="Noto Sans SC" w:eastAsia="Noto Sans SC"/>
        <w:color w:val="087E8B"/>
      </w:rPr>
    </w:lvl>
  </w:abstractNum>
  <w:num w:numId="10">
    <w:abstractNumId w:val="9"/>
  </w:num>
  <w:abstractNum w:abstractNumId="10">
    <w:multiLevelType w:val="hybrid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 SC" w:hAnsi="Noto Sans SC" w:eastAsia="Noto Sans SC"/>
        <w:color w:val="2E74B5"/>
      </w:rPr>
    </w:lvl>
    <w:lvl w:ilvl="1">
      <w:start w:val="1"/>
      <w:numFmt w:val="decimal"/>
      <w:lvlText w:val="%2."/>
      <w:suff w:val="tab"/>
      <w:pPr>
        <w:tabs>
          <w:tab w:val="num" w:pos="810"/>
        </w:tabs>
        <w:ind w:left="810" w:hanging="270"/>
      </w:pPr>
      <w:rPr>
        <w:rFonts w:ascii="Noto Sans SC" w:hAnsi="Noto Sans SC" w:eastAsia="Noto Sans SC"/>
        <w:color w:val="2E74B5"/>
      </w:rPr>
    </w:lvl>
    <w:lvl w:ilvl="2">
      <w:start w:val="1"/>
      <w:numFmt w:val="decimal"/>
      <w:lvlText w:val="%3."/>
      <w:suff w:val="tab"/>
      <w:pPr>
        <w:tabs>
          <w:tab w:val="num" w:pos="1080"/>
        </w:tabs>
        <w:ind w:left="1080" w:hanging="270"/>
      </w:pPr>
      <w:rPr>
        <w:rFonts w:ascii="Noto Sans SC" w:hAnsi="Noto Sans SC" w:eastAsia="Noto Sans SC"/>
        <w:color w:val="2E74B5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Noto Sans SC" w:hAnsi="Noto Sans SC" w:eastAsia="Noto Sans SC" w:cs="Noto Sans SC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80" w:line="240" w:lineRule="auto"/>
    </w:pPr>
    <w:rPr>
      <w:rFonts w:ascii="Noto Sans SC" w:hAnsi="Noto Sans SC" w:eastAsia="Noto Sans SC" w:cs="Noto Sans SC"/>
      <w:b w:val="0"/>
      <w:color w:val="667085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menlovc.com/perspective/2025-the-state-of-generative-ai-in-the-enterprise/" TargetMode="External"/><Relationship Id="rId17" Type="http://schemas.openxmlformats.org/officeDocument/2006/relationships/hyperlink" Target="https://www.postman.com/state-of-api/2025/" TargetMode="External"/><Relationship Id="rId18" Type="http://schemas.openxmlformats.org/officeDocument/2006/relationships/hyperlink" Target="https://www.postman.com/company/about-postman/" TargetMode="External"/><Relationship Id="rId19" Type="http://schemas.openxmlformats.org/officeDocument/2006/relationships/hyperlink" Target="https://hai.stanford.edu/ai-index/2026-ai-index-report" TargetMode="External"/><Relationship Id="rId20" Type="http://schemas.openxmlformats.org/officeDocument/2006/relationships/hyperlink" Target="https://hai.stanford.edu/assets/files/ai_index_report_2026_chapter_4_economy.pdf" TargetMode="External"/><Relationship Id="rId21" Type="http://schemas.openxmlformats.org/officeDocument/2006/relationships/hyperlink" Target="https://stripe.com/newsroom/news/stripe-2025-update" TargetMode="External"/><Relationship Id="rId22" Type="http://schemas.openxmlformats.org/officeDocument/2006/relationships/hyperlink" Target="https://stripe.com/blog/machine-payments-protocol" TargetMode="External"/><Relationship Id="rId23" Type="http://schemas.openxmlformats.org/officeDocument/2006/relationships/hyperlink" Target="https://x402.org/" TargetMode="External"/><Relationship Id="rId24" Type="http://schemas.openxmlformats.org/officeDocument/2006/relationships/hyperlink" Target="https://taxation-customs.ec.europa.eu/taxation/vat/vat-digital-age-vida_en" TargetMode="External"/><Relationship Id="rId25" Type="http://schemas.openxmlformats.org/officeDocument/2006/relationships/hyperlink" Target="https://www.paddle.com/pricing" TargetMode="External"/><Relationship Id="rId26" Type="http://schemas.openxmlformats.org/officeDocument/2006/relationships/hyperlink" Target="https://polar.sh/pricing" TargetMode="External"/><Relationship Id="rId27" Type="http://schemas.openxmlformats.org/officeDocument/2006/relationships/hyperlink" Target="https://dodopayments.com/pricing/" TargetMode="External"/><Relationship Id="rId28" Type="http://schemas.openxmlformats.org/officeDocument/2006/relationships/hyperlink" Target="https://www.creem.io/pricing" TargetMode="External"/><Relationship Id="rId29" Type="http://schemas.openxmlformats.org/officeDocument/2006/relationships/hyperlink" Target="https://stripe.com/pricing" TargetMode="External"/><Relationship Id="rId30" Type="http://schemas.openxmlformats.org/officeDocument/2006/relationships/hyperlink" Target="https://polar.sh/blog/polar-seed-announcement" TargetMode="External"/><Relationship Id="rId31" Type="http://schemas.openxmlformats.org/officeDocument/2006/relationships/hyperlink" Target="https://www.crossmint.com/announcement/crossmint-raises-23-6m-led-by-ribbit-capital" TargetMode="External"/><Relationship Id="rId32" Type="http://schemas.openxmlformats.org/officeDocument/2006/relationships/hyperlink" Target="https://modelcontextprotocol.io/specification/2025-11-25" TargetMode="External"/><Relationship Id="rId33" Type="http://schemas.openxmlformats.org/officeDocument/2006/relationships/hyperlink" Target="https://a2a-protocol.org/latest/announcing-1.0/" TargetMode="External"/><Relationship Id="rId34" Type="http://schemas.openxmlformats.org/officeDocument/2006/relationships/hyperlink" Target="https://ap2-protocol.org/ap2/specification/" TargetMode="External"/><Relationship Id="rId35" Type="http://schemas.openxmlformats.org/officeDocument/2006/relationships/hyperlink" Target="https://ucp.dev/documentation/core-concep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Agent-native MoR Business Plan</dc:title>
  <dc:subject>Agent 商务责任、支付、计费、税务与账本基础设施商业计划书</dc:subject>
  <dc:creator>Founding Team / Agent Commerce / Payments / MoR</dc:creator>
  <cp:keywords>Agent-native MoR, AI Agent payments, Merchant of Record, business plan, x402, MPP, AP2</cp:keywords>
  <dc:description>Investor draft · narrative_proposal preset · CJK font override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