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20" w:after="240"/>
      </w:pPr>
      <w:r>
        <w:rPr>
          <w:rFonts w:ascii="Noto Sans SC" w:hAnsi="Noto Sans SC" w:eastAsia="Noto Sans SC" w:cs="Noto Sans SC"/>
          <w:b/>
          <w:i w:val="0"/>
          <w:color w:val="087E8B"/>
          <w:sz w:val="18"/>
        </w:rPr>
        <w:t>PRODUCT SPECIFICATION · RFC v0.9</w:t>
      </w:r>
    </w:p>
    <w:p>
      <w:pPr>
        <w:keepNext/>
        <w:keepLines w:val="0"/>
        <w:spacing w:after="140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56"/>
        </w:rPr>
        <w:t>Programmable MoR</w:t>
      </w:r>
    </w:p>
    <w:p>
      <w:pPr>
        <w:spacing w:after="440"/>
      </w:pPr>
      <w:r>
        <w:rPr>
          <w:rFonts w:ascii="Noto Sans SC" w:hAnsi="Noto Sans SC" w:eastAsia="Noto Sans SC" w:cs="Noto Sans SC"/>
          <w:b/>
          <w:i w:val="0"/>
          <w:color w:val="1F4D78"/>
          <w:sz w:val="30"/>
        </w:rPr>
        <w:t>面向开发者与 AI Agent 的商业责任、计费、支付、财务与税务操作系统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6DF"/>
          <w:left w:val="single" w:sz="6" w:color="CDD6DF"/>
          <w:bottom w:val="single" w:sz="6" w:color="CDD6DF"/>
          <w:right w:val="single" w:sz="6" w:color="CDD6DF"/>
          <w:insideH w:val="single" w:sz="6" w:color="CDD6DF"/>
          <w:insideV w:val="single" w:sz="6" w:color="CDD6DF"/>
        </w:tblBorders>
      </w:tblPr>
      <w:tblGrid>
        <w:gridCol w:w="1250"/>
        <w:gridCol w:w="3140"/>
        <w:gridCol w:w="1200"/>
        <w:gridCol w:w="3770"/>
      </w:tblGrid>
      <w:tr>
        <w:trPr>
          <w:cantSplit/>
          <w:tblHeader w:val="true"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字段</w:t>
            </w:r>
          </w:p>
        </w:tc>
        <w:tc>
          <w:tcPr>
            <w:tcW w:type="dxa" w:w="3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内容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字段</w:t>
            </w:r>
          </w:p>
        </w:tc>
        <w:tc>
          <w:tcPr>
            <w:tcW w:type="dxa" w:w="3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状态</w:t>
            </w:r>
          </w:p>
        </w:tc>
        <w:tc>
          <w:tcPr>
            <w:tcW w:type="dxa" w:w="31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RFC / Build-ready baseline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版本</w:t>
            </w:r>
          </w:p>
        </w:tc>
        <w:tc>
          <w:tcPr>
            <w:tcW w:type="dxa" w:w="377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0.9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日期</w:t>
            </w:r>
          </w:p>
        </w:tc>
        <w:tc>
          <w:tcPr>
            <w:tcW w:type="dxa" w:w="31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2026-07-11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规划窗口</w:t>
            </w:r>
          </w:p>
        </w:tc>
        <w:tc>
          <w:tcPr>
            <w:tcW w:type="dxa" w:w="377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P0 0–6 月 · P1 6–12 月 · P2 12–24 月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Owner</w:t>
            </w:r>
          </w:p>
        </w:tc>
        <w:tc>
          <w:tcPr>
            <w:tcW w:type="dxa" w:w="31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Product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共同评审</w:t>
            </w:r>
          </w:p>
        </w:tc>
        <w:tc>
          <w:tcPr>
            <w:tcW w:type="dxa" w:w="377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Engineering · Design · Risk · Finance · Tax · Compliance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首要 ICP</w:t>
            </w:r>
          </w:p>
        </w:tc>
        <w:tc>
          <w:tcPr>
            <w:tcW w:type="dxa" w:w="31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AI API / 模型 / 数据 / 搜索 / 浏览器 / 代码 / GPU / MCP 工具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形态</w:t>
            </w:r>
          </w:p>
        </w:tc>
        <w:tc>
          <w:tcPr>
            <w:tcW w:type="dxa" w:w="377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Dashboard + API + SDK + CLI + Agent Tools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定位</w:t>
            </w:r>
          </w:p>
        </w:tc>
        <w:tc>
          <w:tcPr>
            <w:tcW w:type="dxa" w:w="31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Merchant of Record and Billing OS for AI services and agent transactions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决策</w:t>
            </w:r>
          </w:p>
        </w:tc>
        <w:tc>
          <w:tcPr>
            <w:tcW w:type="dxa" w:w="377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批准 P0 范围、对象模型与发布门槛</w:t>
            </w:r>
          </w:p>
        </w:tc>
      </w:tr>
    </w:tbl>
    <w:p>
      <w:pPr>
        <w:spacing w:before="80" w:after="80"/>
      </w:pPr>
    </w:p>
    <w:p>
      <w:pPr>
        <w:spacing w:before="280" w:after="240"/>
        <w:pBdr>
          <w:bottom w:val="single" w:sz="18" w:color="2E74B5" w:space="8"/>
        </w:pBdr>
      </w:pPr>
      <w:r>
        <w:rPr>
          <w:rFonts w:ascii="Noto Sans SC" w:hAnsi="Noto Sans SC" w:eastAsia="Noto Sans SC" w:cs="Noto Sans SC"/>
          <w:b/>
          <w:i w:val="0"/>
          <w:color w:val="2E74B5"/>
          <w:sz w:val="18"/>
        </w:rPr>
        <w:t>一句话决定</w:t>
      </w:r>
      <w:r>
        <w:rPr>
          <w:rFonts w:ascii="Noto Sans SC" w:hAnsi="Noto Sans SC" w:eastAsia="Noto Sans SC" w:cs="Noto Sans SC"/>
          <w:b w:val="0"/>
          <w:i w:val="0"/>
          <w:color w:val="102A43"/>
          <w:sz w:val="22"/>
        </w:rPr>
        <w:t xml:space="preserve">  保留今天开发者熟悉的 Catalog—Pricing—Checkout—Finance 路径；在同一内核中新增 Principal—Agent—Mandate—Task—Evidence，使机器可操作、人工可恢复、责任可追溯。</w:t>
      </w:r>
    </w:p>
    <w:p>
      <w:pPr>
        <w:spacing w:before="100" w:after="200" w:line="276" w:lineRule="auto"/>
        <w:shd w:fill="E8EEF5"/>
        <w:keepNext w:val="0"/>
        <w:keepLines/>
        <w:pBdr>
          <w:left w:val="single" w:sz="18" w:space="8" w:color="2E74B5"/>
        </w:pBdr>
        <w:ind w:left="180" w:right="18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18"/>
        </w:rPr>
        <w:t xml:space="preserve">规范用语  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MUST 表示发布阻断条件；SHOULD 表示默认要求、例外需记录；MAY 表示可选能力。P0/P1/P2 是产品承诺顺序，不代表协议行业成熟度。</w:t>
      </w:r>
    </w:p>
    <w:p>
      <w:pPr>
        <w:keepNext w:val="0"/>
        <w:keepLines w:val="0"/>
        <w:spacing w:after="40"/>
        <w:jc w:val="left"/>
        <w:widowControl/>
      </w:pPr>
      <w:r>
        <w:rPr>
          <w:rFonts w:ascii="Noto Sans SC" w:hAnsi="Noto Sans SC" w:eastAsia="Noto Sans SC" w:cs="Noto Sans SC"/>
          <w:b w:val="0"/>
          <w:i w:val="0"/>
          <w:color w:val="52616B"/>
          <w:sz w:val="16"/>
        </w:rPr>
        <w:t>免责声明：本规格用于产品与系统设计，不构成法律、税务、会计、监管或支付牌照意见。各司法辖区的 MoR 合同、资金流、消费者权利、储值与数字资产路径必须专项复核。</w:t>
      </w:r>
    </w:p>
    <w:p>
      <w:pPr>
        <w:keepNext/>
        <w:keepLines w:val="0"/>
        <w:pageBreakBefore/>
        <w:spacing w:before="40" w:after="80"/>
        <w:widowControl/>
      </w:pPr>
      <w:r>
        <w:rPr>
          <w:rFonts w:ascii="Noto Sans SC" w:hAnsi="Noto Sans SC" w:eastAsia="Noto Sans SC" w:cs="Noto Sans SC"/>
          <w:b/>
          <w:i w:val="0"/>
          <w:color w:val="087E8B"/>
          <w:sz w:val="17"/>
        </w:rPr>
        <w:t>DECISION BRIEF</w:t>
      </w:r>
    </w:p>
    <w:p>
      <w:pPr>
        <w:pStyle w:val="Heading1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32"/>
        </w:rPr>
        <w:t>执行摘要与待批准决定</w:t>
      </w:r>
    </w:p>
    <w:p>
      <w:pPr>
        <w:spacing w:before="100" w:after="200" w:line="276" w:lineRule="auto"/>
        <w:shd w:fill="E8F5F5"/>
        <w:keepNext w:val="0"/>
        <w:keepLines/>
        <w:pBdr>
          <w:left w:val="single" w:sz="18" w:space="8" w:color="087E8B"/>
        </w:pBdr>
        <w:ind w:left="180" w:right="180"/>
        <w:widowControl/>
      </w:pPr>
      <w:r>
        <w:rPr>
          <w:rFonts w:ascii="Noto Sans SC" w:hAnsi="Noto Sans SC" w:eastAsia="Noto Sans SC" w:cs="Noto Sans SC"/>
          <w:b/>
          <w:i w:val="0"/>
          <w:color w:val="0B5963"/>
          <w:sz w:val="18"/>
        </w:rPr>
        <w:t xml:space="preserve">产品定义  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Programmable MoR 是 AI 服务与 Agent 交易的法律卖方/商业责任层和 Billing OS：把目录、报价、授权、任务、用量、证据、税、支付、账本、退款、争议与结算统一为可编程状态机。</w:t>
      </w:r>
    </w:p>
    <w:p>
      <w:pPr>
        <w:keepNext w:val="0"/>
        <w:keepLines/>
        <w:numPr>
          <w:ilvl w:val="0"/>
          <w:numId w:val="10"/>
        </w:numPr>
        <w:spacing w:after="80" w:line="30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>今天先服务真实收入。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P0 首先覆盖订阅、API/token 用量、预付 credits、月度 invoice、Hosted Checkout、税、退款/拒付与开发者 webhook；Agent 发起交易默认可人工确认。</w:t>
      </w:r>
    </w:p>
    <w:p>
      <w:pPr>
        <w:keepNext w:val="0"/>
        <w:keepLines/>
        <w:numPr>
          <w:ilvl w:val="0"/>
          <w:numId w:val="10"/>
        </w:numPr>
        <w:spacing w:after="80" w:line="30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>未来能力进入同一内核。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Principal、AgentIdentity、Mandate、CommerceTask 与 Evidence 从 P0 就进入数据模型和审计链，但通过 feature flag 渐进显露，避免用户被未来概念淹没。</w:t>
      </w:r>
    </w:p>
    <w:p>
      <w:pPr>
        <w:keepNext w:val="0"/>
        <w:keepLines/>
        <w:numPr>
          <w:ilvl w:val="0"/>
          <w:numId w:val="10"/>
        </w:numPr>
        <w:spacing w:after="80" w:line="30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>Dashboard 不是产品本体。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产品由控制平面、商务运行时、责任/财务系统和协议适配层组成；Dashboard、SDK、CLI、MCP/A2A 工具均是同一 API 的视图。</w:t>
      </w:r>
    </w:p>
    <w:p>
      <w:pPr>
        <w:keepNext w:val="0"/>
        <w:keepLines/>
        <w:numPr>
          <w:ilvl w:val="0"/>
          <w:numId w:val="10"/>
        </w:numPr>
        <w:spacing w:after="80" w:line="30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>一条黄金路径。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任何渠道都落在 Quote → Authorize → Reserve → Execute → Meter → Evidence → Finalize → Invoice/Settle；失败可重放、资金可对账、责任可解释。</w:t>
      </w:r>
    </w:p>
    <w:p>
      <w:pPr>
        <w:keepNext w:val="0"/>
        <w:keepLines/>
        <w:numPr>
          <w:ilvl w:val="0"/>
          <w:numId w:val="10"/>
        </w:numPr>
        <w:spacing w:after="80" w:line="30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>严格控制自主性。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Agent 是授权行动者，Principal 仍是经济与法律主体；高风险动作要求 step-up 或双人审批，任何 prompt 都不能直接触发不可逆付款。</w:t>
      </w: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需要本轮批准的五个决定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6DF"/>
          <w:left w:val="single" w:sz="6" w:color="CDD6DF"/>
          <w:bottom w:val="single" w:sz="6" w:color="CDD6DF"/>
          <w:right w:val="single" w:sz="6" w:color="CDD6DF"/>
          <w:insideH w:val="single" w:sz="6" w:color="CDD6DF"/>
          <w:insideV w:val="single" w:sz="6" w:color="CDD6DF"/>
        </w:tblBorders>
      </w:tblPr>
      <w:tblGrid>
        <w:gridCol w:w="650"/>
        <w:gridCol w:w="1900"/>
        <w:gridCol w:w="5650"/>
        <w:gridCol w:w="1160"/>
      </w:tblGrid>
      <w:tr>
        <w:trPr>
          <w:cantSplit/>
          <w:tblHeader w:val="true"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ID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决策</w:t>
            </w:r>
          </w:p>
        </w:tc>
        <w:tc>
          <w:tcPr>
            <w:tcW w:type="dxa" w:w="5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建议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动作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D1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P0 首要客群</w:t>
            </w:r>
          </w:p>
        </w:tc>
        <w:tc>
          <w:tcPr>
            <w:tcW w:type="dxa" w:w="5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销售 AI API/MCP/数据/计算服务的开发者公司；全球买家、用量高频、定价复杂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批准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D2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统一对象模型</w:t>
            </w:r>
          </w:p>
        </w:tc>
        <w:tc>
          <w:tcPr>
            <w:tcW w:type="dxa" w:w="56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Product 升级为 Catalog Item + Offer；引入 Principal/Agent/Mandate/Task/Evidence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批准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D3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产品边界</w:t>
            </w:r>
          </w:p>
        </w:tc>
        <w:tc>
          <w:tcPr>
            <w:tcW w:type="dxa" w:w="5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MoR + Billing/Tax/Finance runtime；不自建消费者钱包、不做通用购物 Agent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批准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D4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协议策略</w:t>
            </w:r>
          </w:p>
        </w:tc>
        <w:tc>
          <w:tcPr>
            <w:tcW w:type="dxa" w:w="56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核心模型协议无关；MCP P0，x402 beta；A2A/UCP/AP2/MPP 按 P1 adapter 接入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批准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D5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P0 上线门槛</w:t>
            </w:r>
          </w:p>
        </w:tc>
        <w:tc>
          <w:tcPr>
            <w:tcW w:type="dxa" w:w="5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完整交易链可验证、可重放、可对账；税务和财务账本无未解释差异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批准</w:t>
            </w:r>
          </w:p>
        </w:tc>
      </w:tr>
    </w:tbl>
    <w:p>
      <w:pPr>
        <w:spacing w:before="80" w:after="80"/>
      </w:pP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阅读地图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6DF"/>
          <w:left w:val="single" w:sz="6" w:color="CDD6DF"/>
          <w:bottom w:val="single" w:sz="6" w:color="CDD6DF"/>
          <w:right w:val="single" w:sz="6" w:color="CDD6DF"/>
          <w:insideH w:val="single" w:sz="6" w:color="CDD6DF"/>
          <w:insideV w:val="single" w:sz="6" w:color="CDD6DF"/>
        </w:tblBorders>
      </w:tblPr>
      <w:tblGrid>
        <w:gridCol w:w="1800"/>
        <w:gridCol w:w="2100"/>
        <w:gridCol w:w="5460"/>
      </w:tblGrid>
      <w:tr>
        <w:trPr>
          <w:cantSplit/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评审角色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优先章节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要回答的问题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Founder / GM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01–05、21–23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为什么做、先做谁、成功如何衡量、何时扩张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Product / Design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06–10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导航、页面、渐进披露、关键流程与异常体验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Engineering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06、11–18、20、22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对象、状态机、接口、事件、可靠性与迁移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Finance / Tax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15–17、20、23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税务决定、账本、对账、结算与发布门槛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Risk / Compliance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14、16、19–20、23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主体、授权、证据、审批、隐私与控制</w:t>
            </w:r>
          </w:p>
        </w:tc>
      </w:tr>
    </w:tbl>
    <w:p>
      <w:pPr>
        <w:spacing w:before="80" w:after="80"/>
      </w:pPr>
    </w:p>
    <w:p>
      <w:pPr>
        <w:keepNext/>
        <w:keepLines w:val="0"/>
        <w:pageBreakBefore/>
        <w:spacing w:before="40" w:after="80"/>
        <w:widowControl/>
      </w:pPr>
      <w:r>
        <w:rPr>
          <w:rFonts w:ascii="Noto Sans SC" w:hAnsi="Noto Sans SC" w:eastAsia="Noto Sans SC" w:cs="Noto Sans SC"/>
          <w:b/>
          <w:i w:val="0"/>
          <w:color w:val="087E8B"/>
          <w:sz w:val="17"/>
        </w:rPr>
        <w:t>01 · CONTEXT</w:t>
      </w:r>
    </w:p>
    <w:p>
      <w:pPr>
        <w:pStyle w:val="Heading1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32"/>
        </w:rPr>
        <w:t>竞品基线与产品机会</w:t>
      </w:r>
    </w:p>
    <w:p>
      <w:pPr>
        <w:keepNext w:val="0"/>
        <w:keepLines w:val="0"/>
        <w:spacing w:after="120"/>
        <w:jc w:val="left"/>
        <w:widowControl/>
      </w:pPr>
      <w:r>
        <w:rPr>
          <w:rFonts w:ascii="Noto Sans SC" w:hAnsi="Noto Sans SC" w:eastAsia="Noto Sans SC" w:cs="Noto Sans SC"/>
          <w:b w:val="0"/>
          <w:i w:val="0"/>
          <w:color w:val="102A43"/>
          <w:sz w:val="22"/>
        </w:rPr>
        <w:t>附件中的 Polar、Dodo Payments 与 Creem 代表当前开发者 MoR 的主流信息架构：以卖方为中心，围绕产品配置、销售、客户与财务组织。这个心智应被保留，但不能成为未来 Agent 商务的对象边界。</w:t>
      </w:r>
    </w:p>
    <w:p>
      <w:pPr>
        <w:keepNext w:val="0"/>
        <w:keepLines/>
        <w:spacing w:before="60" w:after="80"/>
        <w:jc w:val="center"/>
        <w:widowControl/>
      </w:pPr>
      <w:r>
        <w:t xml:space="preserve">   </w:t>
        <w:drawing>
          <wp:inline xmlns:a="http://schemas.openxmlformats.org/drawingml/2006/main" xmlns:pic="http://schemas.openxmlformats.org/drawingml/2006/picture">
            <wp:extent cx="1389888" cy="2812402"/>
            <wp:docPr id="1" name="Picture 1" title="Polar 产品导航截图" descr="以 Products、Meters、Customers、Analytics、Sales 与 Finance 为主的简洁卖方导航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bd13cb-5f06-4c74-8f07-c20b149c014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89888" cy="281240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</w:t>
        <w:drawing>
          <wp:inline xmlns:a="http://schemas.openxmlformats.org/drawingml/2006/main" xmlns:pic="http://schemas.openxmlformats.org/drawingml/2006/picture">
            <wp:extent cx="1353312" cy="2872734"/>
            <wp:docPr id="2" name="Picture 2" title="Dodo Payments 产品导航截图" descr="产品下包含附加项、集合、计量器和积分，并提供销售、交易、提现与商店前台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635890-924d-4235-a363-c9c2e9c3406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53312" cy="2872734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</w:t>
        <w:drawing>
          <wp:inline xmlns:a="http://schemas.openxmlformats.org/drawingml/2006/main" xmlns:pic="http://schemas.openxmlformats.org/drawingml/2006/picture">
            <wp:extent cx="1024128" cy="3212210"/>
            <wp:docPr id="3" name="Picture 3" title="Creem 产品导航截图" descr="商务、财务、洞察与增长分组，并显式展示测试模式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d97c252-6a7e-4750-91ff-f6259f3504b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24128" cy="3212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after="160"/>
        <w:jc w:val="center"/>
        <w:widowControl/>
      </w:pPr>
      <w:r>
        <w:rPr>
          <w:rFonts w:ascii="Noto Sans SC" w:hAnsi="Noto Sans SC" w:eastAsia="Noto Sans SC" w:cs="Noto Sans SC"/>
          <w:b w:val="0"/>
          <w:i/>
          <w:color w:val="52616B"/>
          <w:sz w:val="16"/>
        </w:rPr>
        <w:t>图 1｜现有 MoR/支付 Dashboard 的共同心智：先配置产品，再观察销售与财务；Agent 运行时仍未成为一等对象。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6DF"/>
          <w:left w:val="single" w:sz="6" w:color="CDD6DF"/>
          <w:bottom w:val="single" w:sz="6" w:color="CDD6DF"/>
          <w:right w:val="single" w:sz="6" w:color="CDD6DF"/>
          <w:insideH w:val="single" w:sz="6" w:color="CDD6DF"/>
          <w:insideV w:val="single" w:sz="6" w:color="CDD6DF"/>
        </w:tblBorders>
      </w:tblPr>
      <w:tblGrid>
        <w:gridCol w:w="1300"/>
        <w:gridCol w:w="2350"/>
        <w:gridCol w:w="2500"/>
        <w:gridCol w:w="3210"/>
      </w:tblGrid>
      <w:tr>
        <w:trPr>
          <w:cantSplit/>
          <w:tblHeader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产品样本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现有优势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对开发者的摩擦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本产品吸收 / 修正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Polar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Products 下集中 Catalogue、Checkout Links、Discounts、Benefits、Meters；路径短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Developer、Risk、Tax 与运行时状态不显眼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保留简洁 Catalog；将 Developer Hub、Risk 与 Traces 提升为一等区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Dodo Payments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产品模型丰富：附加项、集合、计量器、积分；销售/交易/提现完整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Products 承载过多概念；销售、交易、提现边界需要学习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拆分 Catalog、Commerce、Finance；Offer 统一附加项/组合/价格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Creem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商务/财务/洞察/增长分组清楚；测试模式显式；Risk 独立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增长模块挤占核心操作，开发者入口较深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环境与风险常驻；增长能力放 Marketplace/Modules，而非核心导航</w:t>
            </w:r>
          </w:p>
        </w:tc>
      </w:tr>
    </w:tbl>
    <w:p>
      <w:pPr>
        <w:spacing w:before="80" w:after="80"/>
      </w:pPr>
    </w:p>
    <w:p>
      <w:pPr>
        <w:spacing w:before="100" w:after="200" w:line="276" w:lineRule="auto"/>
        <w:shd w:fill="FFF3E8"/>
        <w:keepNext w:val="0"/>
        <w:keepLines/>
        <w:pBdr>
          <w:left w:val="single" w:sz="18" w:space="8" w:color="E97724"/>
        </w:pBdr>
        <w:ind w:left="180" w:right="180"/>
        <w:widowControl/>
      </w:pPr>
      <w:r>
        <w:rPr>
          <w:rFonts w:ascii="Noto Sans SC" w:hAnsi="Noto Sans SC" w:eastAsia="Noto Sans SC" w:cs="Noto Sans SC"/>
          <w:b/>
          <w:i w:val="0"/>
          <w:color w:val="E97724"/>
          <w:sz w:val="18"/>
        </w:rPr>
        <w:t xml:space="preserve">核心机会  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把“配置一个可卖的产品”升级为“发布一个可被人或 Agent 安全购买、执行、计量、验收并结算的能力”，同时不迫使普通 SaaS 商户理解 Agent 协议。</w:t>
      </w: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共同缺口</w:t>
      </w:r>
    </w:p>
    <w:p>
      <w:pPr>
        <w:keepNext w:val="0"/>
        <w:keepLines/>
        <w:numPr>
          <w:ilvl w:val="0"/>
          <w:numId w:val="10"/>
        </w:numPr>
        <w:spacing w:after="80" w:line="30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>参与方不完整。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Customer 不能表达 Principal、Agent Provider、Agent Instance、Vendor、Tenant 及其授权关系。</w:t>
      </w:r>
    </w:p>
    <w:p>
      <w:pPr>
        <w:keepNext w:val="0"/>
        <w:keepLines/>
        <w:numPr>
          <w:ilvl w:val="0"/>
          <w:numId w:val="10"/>
        </w:numPr>
        <w:spacing w:after="80" w:line="30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>订单无法表达工作。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Order/Subscription 不足以描述长运行、可分段、可验收、可能调用子 Agent 的 CommerceTask。</w:t>
      </w:r>
    </w:p>
    <w:p>
      <w:pPr>
        <w:keepNext w:val="0"/>
        <w:keepLines/>
        <w:numPr>
          <w:ilvl w:val="0"/>
          <w:numId w:val="10"/>
        </w:numPr>
        <w:spacing w:after="80" w:line="30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>支付授权与任务授权混为一体。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能扣款不等于能执行；预算、目的、供应商、时间、深度和数据边界需要独立 Mandate。</w:t>
      </w:r>
    </w:p>
    <w:p>
      <w:pPr>
        <w:keepNext w:val="0"/>
        <w:keepLines/>
        <w:numPr>
          <w:ilvl w:val="0"/>
          <w:numId w:val="10"/>
        </w:numPr>
        <w:spacing w:after="80" w:line="30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>用量缺少证据语义。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Meter 记录数量，但未回答谁产生、为何产生、何时接受、如何支持退款或争议。</w:t>
      </w:r>
    </w:p>
    <w:p>
      <w:pPr>
        <w:keepNext w:val="0"/>
        <w:keepLines/>
        <w:numPr>
          <w:ilvl w:val="0"/>
          <w:numId w:val="10"/>
        </w:numPr>
        <w:spacing w:after="80" w:line="30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>只有卖方视角。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Agent builder 还需要 Purchases、budgets、policy、vendor、receipt 与跨供应商成本视图。</w:t>
      </w:r>
    </w:p>
    <w:p>
      <w:pPr>
        <w:keepNext w:val="0"/>
        <w:keepLines/>
        <w:numPr>
          <w:ilvl w:val="0"/>
          <w:numId w:val="10"/>
        </w:numPr>
        <w:spacing w:after="80" w:line="30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>Dashboard 是唯一真相。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配置缺少版本、diff、审批与导出，无法被 Agent 或 CI 安全修改。</w:t>
      </w:r>
    </w:p>
    <w:p>
      <w:pPr>
        <w:keepNext/>
        <w:keepLines w:val="0"/>
        <w:pageBreakBefore/>
        <w:spacing w:before="40" w:after="80"/>
        <w:widowControl/>
      </w:pPr>
      <w:r>
        <w:rPr>
          <w:rFonts w:ascii="Noto Sans SC" w:hAnsi="Noto Sans SC" w:eastAsia="Noto Sans SC" w:cs="Noto Sans SC"/>
          <w:b/>
          <w:i w:val="0"/>
          <w:color w:val="087E8B"/>
          <w:sz w:val="17"/>
        </w:rPr>
        <w:t>02 · PRODUCT THESIS</w:t>
      </w:r>
    </w:p>
    <w:p>
      <w:pPr>
        <w:pStyle w:val="Heading1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32"/>
        </w:rPr>
        <w:t>产品定义、愿景与设计原则</w:t>
      </w: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一句话定位</w:t>
      </w:r>
    </w:p>
    <w:p>
      <w:pPr>
        <w:spacing w:before="100" w:after="200" w:line="276" w:lineRule="auto"/>
        <w:shd w:fill="E8EEF5"/>
        <w:keepNext w:val="0"/>
        <w:keepLines/>
        <w:pBdr>
          <w:left w:val="single" w:sz="18" w:space="8" w:color="2E74B5"/>
        </w:pBdr>
        <w:ind w:left="180" w:right="18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18"/>
        </w:rPr>
        <w:t xml:space="preserve">POSITIONING  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Merchant of Record and Billing OS for AI services and agent transactions — 让开发者一次接入，就能向全球人类与 Agent 销售；让 Agent 在可验证授权、预算和证据下购买。</w:t>
      </w: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完整产品定义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6DF"/>
          <w:left w:val="single" w:sz="6" w:color="CDD6DF"/>
          <w:bottom w:val="single" w:sz="6" w:color="CDD6DF"/>
          <w:right w:val="single" w:sz="6" w:color="CDD6DF"/>
          <w:insideH w:val="single" w:sz="6" w:color="CDD6DF"/>
          <w:insideV w:val="single" w:sz="6" w:color="CDD6DF"/>
        </w:tblBorders>
      </w:tblPr>
      <w:tblGrid>
        <w:gridCol w:w="1350"/>
        <w:gridCol w:w="2600"/>
        <w:gridCol w:w="2580"/>
        <w:gridCol w:w="2830"/>
      </w:tblGrid>
      <w:tr>
        <w:trPr>
          <w:cantSplit/>
          <w:tblHeader w:val="true"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层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职责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P0 用户可见对象</w:t>
            </w:r>
          </w:p>
        </w:tc>
        <w:tc>
          <w:tcPr>
            <w:tcW w:type="dxa" w:w="2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未来扩展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1. 商业责任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法律卖方、条款、产品审查、退款/争议、消费者义务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Seller onboarding、Terms、Refund</w:t>
            </w:r>
          </w:p>
        </w:tc>
        <w:tc>
          <w:tcPr>
            <w:tcW w:type="dxa" w:w="283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Agent-originated liability、跨主体责任图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2. 商业语义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目录、报价、合同版本、订单/任务、权益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Item、Offer、Price、Order、Entitlement</w:t>
            </w:r>
          </w:p>
        </w:tc>
        <w:tc>
          <w:tcPr>
            <w:tcW w:type="dxa" w:w="283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Capability、Quote、Task、Acceptance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3. Billing &amp; Payment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计量、rating、credits、预留、收款与路由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Meter、Credit、Invoice、Payment</w:t>
            </w:r>
          </w:p>
        </w:tc>
        <w:tc>
          <w:tcPr>
            <w:tcW w:type="dxa" w:w="283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Session/netting、machine rails、multi-agent allocation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4. Tax &amp; Finance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税务决定、发票/贷项、账本、对账、结算、提现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TaxDecision、Ledger、Payout</w:t>
            </w:r>
          </w:p>
        </w:tc>
        <w:tc>
          <w:tcPr>
            <w:tcW w:type="dxa" w:w="283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多实体、多腿结算、Agent procurement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5. Trust &amp; Evidence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主体、授权、政策、证据、风险、审计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Principal、API Identity、Policy、Risk</w:t>
            </w:r>
          </w:p>
        </w:tc>
        <w:tc>
          <w:tcPr>
            <w:tcW w:type="dxa" w:w="283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AgentIdentity、Mandate、Evidence、Reputation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6. Developer Platform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API、SDK、CLI、webhook、emulator、协议适配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REST/SDK/CLI/MCP</w:t>
            </w:r>
          </w:p>
        </w:tc>
        <w:tc>
          <w:tcPr>
            <w:tcW w:type="dxa" w:w="283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A2A/UCP/AP2/MPP adapters</w:t>
            </w:r>
          </w:p>
        </w:tc>
      </w:tr>
    </w:tbl>
    <w:p>
      <w:pPr>
        <w:spacing w:before="80" w:after="80"/>
      </w:pP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产品原则</w:t>
      </w:r>
    </w:p>
    <w:p>
      <w:pPr>
        <w:keepNext w:val="0"/>
        <w:keepLines/>
        <w:numPr>
          <w:ilvl w:val="0"/>
          <w:numId w:val="10"/>
        </w:numPr>
        <w:spacing w:after="80" w:line="30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 xml:space="preserve">Familiar first, agent-native underneath. 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普通 SaaS 用户从 Product/Price/Checkout 开始；开启 Agent 服务后才出现 Capability/Mandate/Task。</w:t>
      </w:r>
    </w:p>
    <w:p>
      <w:pPr>
        <w:keepNext w:val="0"/>
        <w:keepLines/>
        <w:numPr>
          <w:ilvl w:val="0"/>
          <w:numId w:val="10"/>
        </w:numPr>
        <w:spacing w:after="80" w:line="30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 xml:space="preserve">Human-recoverable, machine-operable. 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每个机器动作都有可读时间线、确定性错误、重试建议和人工接管入口。</w:t>
      </w:r>
    </w:p>
    <w:p>
      <w:pPr>
        <w:keepNext w:val="0"/>
        <w:keepLines/>
        <w:numPr>
          <w:ilvl w:val="0"/>
          <w:numId w:val="10"/>
        </w:numPr>
        <w:spacing w:after="80" w:line="30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 xml:space="preserve">One canonical model, many adapters. 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外部协议只做映射，不能决定内部对象与账本。</w:t>
      </w:r>
    </w:p>
    <w:p>
      <w:pPr>
        <w:keepNext w:val="0"/>
        <w:keepLines/>
        <w:numPr>
          <w:ilvl w:val="0"/>
          <w:numId w:val="10"/>
        </w:numPr>
        <w:spacing w:after="80" w:line="30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 xml:space="preserve">Agent acts; Principal remains accountable. 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Agent 身份与 Principal 的法律/预算关系必须显式。</w:t>
      </w:r>
    </w:p>
    <w:p>
      <w:pPr>
        <w:keepNext w:val="0"/>
        <w:keepLines/>
        <w:numPr>
          <w:ilvl w:val="0"/>
          <w:numId w:val="10"/>
        </w:numPr>
        <w:spacing w:after="80" w:line="30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 xml:space="preserve">Versioned contract over mutable settings. 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报价固定能力、schema、价格、条款、证据和供给分类版本。</w:t>
      </w:r>
    </w:p>
    <w:p>
      <w:pPr>
        <w:keepNext w:val="0"/>
        <w:keepLines/>
        <w:numPr>
          <w:ilvl w:val="0"/>
          <w:numId w:val="10"/>
        </w:numPr>
        <w:spacing w:after="80" w:line="30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 xml:space="preserve">Reserve before irreversible work. 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成本高或不可回滚的执行必须先验证授权并预留预算。</w:t>
      </w:r>
    </w:p>
    <w:p>
      <w:pPr>
        <w:keepNext w:val="0"/>
        <w:keepLines/>
        <w:numPr>
          <w:ilvl w:val="0"/>
          <w:numId w:val="10"/>
        </w:numPr>
        <w:spacing w:after="80" w:line="30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 xml:space="preserve">Evidence before autonomy. 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自主程度随身份、成功历史、证据质量与争议率逐级提升。</w:t>
      </w:r>
    </w:p>
    <w:p>
      <w:pPr>
        <w:keepNext w:val="0"/>
        <w:keepLines/>
        <w:numPr>
          <w:ilvl w:val="0"/>
          <w:numId w:val="10"/>
        </w:numPr>
        <w:spacing w:after="80" w:line="30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 xml:space="preserve">Ledger is the source of financial truth. 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Dashboard 是账本和事件的投影；禁止直接修改历史余额。</w:t>
      </w:r>
    </w:p>
    <w:p>
      <w:pPr>
        <w:keepNext w:val="0"/>
        <w:keepLines/>
        <w:numPr>
          <w:ilvl w:val="0"/>
          <w:numId w:val="10"/>
        </w:numPr>
        <w:spacing w:after="80" w:line="30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 xml:space="preserve">One transaction leg, one MoR. 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多 Agent 链路拆成清晰交易腿，避免一笔交易中责任主体模糊。</w:t>
      </w:r>
    </w:p>
    <w:p>
      <w:pPr>
        <w:keepNext/>
        <w:keepLines w:val="0"/>
        <w:pageBreakBefore/>
        <w:spacing w:before="40" w:after="80"/>
        <w:widowControl/>
      </w:pPr>
      <w:r>
        <w:rPr>
          <w:rFonts w:ascii="Noto Sans SC" w:hAnsi="Noto Sans SC" w:eastAsia="Noto Sans SC" w:cs="Noto Sans SC"/>
          <w:b/>
          <w:i w:val="0"/>
          <w:color w:val="087E8B"/>
          <w:sz w:val="17"/>
        </w:rPr>
        <w:t>03 · REALITY CHECK</w:t>
      </w:r>
    </w:p>
    <w:p>
      <w:pPr>
        <w:pStyle w:val="Heading1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32"/>
        </w:rPr>
        <w:t>2026 现实成熟度与双时域策略</w:t>
      </w:r>
    </w:p>
    <w:p>
      <w:pPr>
        <w:keepNext w:val="0"/>
        <w:keepLines w:val="0"/>
        <w:spacing w:after="120"/>
        <w:jc w:val="left"/>
        <w:widowControl/>
      </w:pPr>
      <w:r>
        <w:rPr>
          <w:rFonts w:ascii="Noto Sans SC" w:hAnsi="Noto Sans SC" w:eastAsia="Noto Sans SC" w:cs="Noto Sans SC"/>
          <w:b w:val="0"/>
          <w:i w:val="0"/>
          <w:color w:val="102A43"/>
          <w:sz w:val="22"/>
        </w:rPr>
        <w:t>产品必须区分“市场正在产生规模收入的计费方式”和“正在形成的 Agent 协议”。P0 不以完全自主 Agent 商务为收入前提；未来对象从第一天进入内核，以避免重构。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6DF"/>
          <w:left w:val="single" w:sz="6" w:color="CDD6DF"/>
          <w:bottom w:val="single" w:sz="6" w:color="CDD6DF"/>
          <w:right w:val="single" w:sz="6" w:color="CDD6DF"/>
          <w:insideH w:val="single" w:sz="6" w:color="CDD6DF"/>
          <w:insideV w:val="single" w:sz="6" w:color="CDD6DF"/>
        </w:tblBorders>
      </w:tblPr>
      <w:tblGrid>
        <w:gridCol w:w="2850"/>
        <w:gridCol w:w="1500"/>
        <w:gridCol w:w="1200"/>
        <w:gridCol w:w="3810"/>
      </w:tblGrid>
      <w:tr>
        <w:trPr>
          <w:cantSplit/>
          <w:tblHeader w:val="true"/>
        </w:trP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场景 / 能力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成熟度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产品阶段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具体决策</w:t>
            </w:r>
          </w:p>
        </w:tc>
      </w:tr>
      <w:tr>
        <w:trPr>
          <w:cantSplit/>
        </w:trP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订阅、API/token 用量、预付 credits、月度 invoice/commit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M4 · 主流生产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P0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完整支持；这是首年收入与留存基座</w:t>
            </w:r>
          </w:p>
        </w:tc>
      </w:tr>
      <w:tr>
        <w:trPr>
          <w:cantSplit/>
        </w:trP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人类确认的 Agent checkout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M2 · 早期渠道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P0/P1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提供可恢复 checkout 与明确 Agent-originated 标记</w:t>
            </w:r>
          </w:p>
        </w:tc>
      </w:tr>
      <w:tr>
        <w:trPr>
          <w:cantSplit/>
        </w:trP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MCP 工具发现与调用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M3 · 快速采用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P0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暴露 catalog/quote/balance/pay/receipt/refund 工具</w:t>
            </w:r>
          </w:p>
        </w:tc>
      </w:tr>
      <w:tr>
        <w:trPr>
          <w:cantSplit/>
        </w:trP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x402 的 API/MCP 机器支付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M3 · 垂直可用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P0 beta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仅用于适配 ICP 的低额数字服务；税与账本仍走内核</w:t>
            </w:r>
          </w:p>
        </w:tc>
      </w:tr>
      <w:tr>
        <w:trPr>
          <w:cantSplit/>
        </w:trP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A2A / UCP / ACP 商业协作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M1–M2 · 标准形成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P1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adapter，不把协议字段写死进核心</w:t>
            </w:r>
          </w:p>
        </w:tc>
      </w:tr>
      <w:tr>
        <w:trPr>
          <w:cantSplit/>
        </w:trP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AP2、SPT、卡网络 Agent Pay、MPP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M1–M2 · 预览/试点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P1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做 verifier/token/rail connector；按地区开关</w:t>
            </w:r>
          </w:p>
        </w:tc>
      </w:tr>
      <w:tr>
        <w:trPr>
          <w:cantSplit/>
        </w:trP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完全自主多 Agent 结算、结果计费、Agent 信用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M0–M1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P2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需证据、声誉、托管/保证与专门法律模型</w:t>
            </w:r>
          </w:p>
        </w:tc>
      </w:tr>
    </w:tbl>
    <w:p>
      <w:pPr>
        <w:spacing w:before="80" w:after="80"/>
      </w:pPr>
    </w:p>
    <w:p>
      <w:pPr>
        <w:pStyle w:val="SourceNote"/>
        <w:keepNext w:val="0"/>
        <w:keepLines/>
        <w:widowControl/>
      </w:pPr>
      <w:r>
        <w:rPr>
          <w:rFonts w:ascii="Noto Sans SC" w:hAnsi="Noto Sans SC" w:eastAsia="Noto Sans SC" w:cs="Noto Sans SC"/>
          <w:b w:val="0"/>
          <w:i w:val="0"/>
          <w:color w:val="52616B"/>
          <w:sz w:val="15"/>
        </w:rPr>
        <w:t>成熟度判断基于截至 2026-07-11 的官方协议与产品文档；M0=概念、M1=试验、M2=有限生产、M3=垂直生产、M4=广泛生产。见附录 S4–S13。</w:t>
      </w: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双时域产品策略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6DF"/>
          <w:left w:val="single" w:sz="6" w:color="CDD6DF"/>
          <w:bottom w:val="single" w:sz="6" w:color="CDD6DF"/>
          <w:right w:val="single" w:sz="6" w:color="CDD6DF"/>
          <w:insideH w:val="single" w:sz="6" w:color="CDD6DF"/>
          <w:insideV w:val="single" w:sz="6" w:color="CDD6DF"/>
        </w:tblBorders>
      </w:tblPr>
      <w:tblGrid>
        <w:gridCol w:w="1500"/>
        <w:gridCol w:w="3850"/>
        <w:gridCol w:w="4010"/>
      </w:tblGrid>
      <w:tr>
        <w:trPr>
          <w:cantSplit/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维度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NOW · 可建设产品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NEXT · 可演进内核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收入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SaaS/API subscription、usage、credits、invoice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task/milestone/outcome、session/netting、多 Agent 分摊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入口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Hosted/embedded checkout、Payment Link、API、MCP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A2A/UCP/AP2/MPP/card-network adapters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身份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Seller KYB、Customer、API key/workload identity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Principal、Agent Provider/Instance、delegation chain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授权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checkout consent、budget/credit limit、admin policy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verifiable Mandate、step-up、revocation propagation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对象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Product/Offer/Price/Meter/Order/Invoice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Capability/Quote/Task/Evidence/Acceptance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责任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MoR 对单一销售腿负责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跨 Agent 链按腿拆分并传播 receipt/evidence</w:t>
            </w:r>
          </w:p>
        </w:tc>
      </w:tr>
    </w:tbl>
    <w:p>
      <w:pPr>
        <w:spacing w:before="80" w:after="80"/>
      </w:pPr>
    </w:p>
    <w:p>
      <w:pPr>
        <w:keepNext/>
        <w:keepLines w:val="0"/>
        <w:pageBreakBefore/>
        <w:spacing w:before="40" w:after="80"/>
        <w:widowControl/>
      </w:pPr>
      <w:r>
        <w:rPr>
          <w:rFonts w:ascii="Noto Sans SC" w:hAnsi="Noto Sans SC" w:eastAsia="Noto Sans SC" w:cs="Noto Sans SC"/>
          <w:b/>
          <w:i w:val="0"/>
          <w:color w:val="087E8B"/>
          <w:sz w:val="17"/>
        </w:rPr>
        <w:t>04 · USERS</w:t>
      </w:r>
    </w:p>
    <w:p>
      <w:pPr>
        <w:pStyle w:val="Heading1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32"/>
        </w:rPr>
        <w:t>用户、Job-to-be-Done 与激活定义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6DF"/>
          <w:left w:val="single" w:sz="6" w:color="CDD6DF"/>
          <w:bottom w:val="single" w:sz="6" w:color="CDD6DF"/>
          <w:right w:val="single" w:sz="6" w:color="CDD6DF"/>
          <w:insideH w:val="single" w:sz="6" w:color="CDD6DF"/>
          <w:insideV w:val="single" w:sz="6" w:color="CDD6DF"/>
        </w:tblBorders>
      </w:tblPr>
      <w:tblGrid>
        <w:gridCol w:w="1500"/>
        <w:gridCol w:w="3150"/>
        <w:gridCol w:w="2800"/>
        <w:gridCol w:w="1910"/>
      </w:tblGrid>
      <w:tr>
        <w:trPr>
          <w:cantSplit/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角色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核心 JTBD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成功结果</w:t>
            </w:r>
          </w:p>
        </w:tc>
        <w:tc>
          <w:tcPr>
            <w:tcW w:type="dxa" w:w="1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首要界面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Seller Developer / Founder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把 AI API、MCP 工具或 SaaS 向全球收费，不自建税务和账务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10 分钟内完成首个 sandbox 交易；生产后可预测净收入</w:t>
            </w:r>
          </w:p>
        </w:tc>
        <w:tc>
          <w:tcPr>
            <w:tcW w:type="dxa" w:w="19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Catalog、Developer Hub、Commerce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Agent Builder / Buyer Developer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让 Agent 在预算与政策内发现、购买并核算外部能力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不泄露主凭证；每笔成本可归因到 principal/task</w:t>
            </w:r>
          </w:p>
        </w:tc>
        <w:tc>
          <w:tcPr>
            <w:tcW w:type="dxa" w:w="191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Purchases、Agents、Mandates、SDK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Platform Developer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代表多个 tenant/vendor 编排收费、分账和合规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租户隔离、统一 API、清晰责任腿与结算</w:t>
            </w:r>
          </w:p>
        </w:tc>
        <w:tc>
          <w:tcPr>
            <w:tcW w:type="dxa" w:w="19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Tenants、Vendors、Splits、API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Finance / Tax Ops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解释余额、税、invoice、payout 与 provider 差异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每日无未解释差异；任意金额可追溯到 task</w:t>
            </w:r>
          </w:p>
        </w:tc>
        <w:tc>
          <w:tcPr>
            <w:tcW w:type="dxa" w:w="191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Finance、Invoices &amp; Tax、Reconciliation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Risk / Support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阻断滥用、处理失败/退款/争议并生成证据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决策可解释、可回滚；case 有完整 evidence package</w:t>
            </w:r>
          </w:p>
        </w:tc>
        <w:tc>
          <w:tcPr>
            <w:tcW w:type="dxa" w:w="19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Action Inbox、Risk、Task Timeline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Human Principal / Admin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授予 Agent 明确预算和用途并随时撤销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知道 Agent 能买什么、花多少、为何购买</w:t>
            </w:r>
          </w:p>
        </w:tc>
        <w:tc>
          <w:tcPr>
            <w:tcW w:type="dxa" w:w="191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Mandate/Policy、Approval、Receipt</w:t>
            </w:r>
          </w:p>
        </w:tc>
      </w:tr>
    </w:tbl>
    <w:p>
      <w:pPr>
        <w:spacing w:before="80" w:after="80"/>
      </w:pP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激活定义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6DF"/>
          <w:left w:val="single" w:sz="6" w:color="CDD6DF"/>
          <w:bottom w:val="single" w:sz="6" w:color="CDD6DF"/>
          <w:right w:val="single" w:sz="6" w:color="CDD6DF"/>
          <w:insideH w:val="single" w:sz="6" w:color="CDD6DF"/>
          <w:insideV w:val="single" w:sz="6" w:color="CDD6DF"/>
        </w:tblBorders>
      </w:tblPr>
      <w:tblGrid>
        <w:gridCol w:w="1900"/>
        <w:gridCol w:w="4850"/>
        <w:gridCol w:w="2610"/>
      </w:tblGrid>
      <w:tr>
        <w:trPr>
          <w:cantSplit/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用户</w:t>
            </w:r>
          </w:p>
        </w:tc>
        <w:tc>
          <w:tcPr>
            <w:tcW w:type="dxa" w:w="4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Activation Event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时限 / 质量门槛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Seller Developer</w:t>
            </w:r>
          </w:p>
        </w:tc>
        <w:tc>
          <w:tcPr>
            <w:tcW w:type="dxa" w:w="4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发布 sandbox Offer，并完成 Quote → Pay/Reserve → Webhook → Entitlement/Receipt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注册后 10 分钟；无需支持人员介入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Agent Builder</w:t>
            </w:r>
          </w:p>
        </w:tc>
        <w:tc>
          <w:tcPr>
            <w:tcW w:type="dxa" w:w="48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用 test Principal + Agent + Mandate 完成一笔受限 purchase/task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注册后 20 分钟；预算、供应商、用途均被验证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Platform</w:t>
            </w:r>
          </w:p>
        </w:tc>
        <w:tc>
          <w:tcPr>
            <w:tcW w:type="dxa" w:w="4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完成首个 tenant/vendor onboarding 与隔离结算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7 天；无跨租户数据/资金泄露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Finance</w:t>
            </w:r>
          </w:p>
        </w:tc>
        <w:tc>
          <w:tcPr>
            <w:tcW w:type="dxa" w:w="48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将 MoR ledger 与 PSP/tax/payout 报告日结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T+1；未解释差异为 0</w:t>
            </w:r>
          </w:p>
        </w:tc>
      </w:tr>
    </w:tbl>
    <w:p>
      <w:pPr>
        <w:spacing w:before="80" w:after="80"/>
      </w:pPr>
    </w:p>
    <w:p>
      <w:pPr>
        <w:keepNext/>
        <w:keepLines w:val="0"/>
        <w:pageBreakBefore/>
        <w:spacing w:before="40" w:after="80"/>
        <w:widowControl/>
      </w:pPr>
      <w:r>
        <w:rPr>
          <w:rFonts w:ascii="Noto Sans SC" w:hAnsi="Noto Sans SC" w:eastAsia="Noto Sans SC" w:cs="Noto Sans SC"/>
          <w:b/>
          <w:i w:val="0"/>
          <w:color w:val="087E8B"/>
          <w:sz w:val="17"/>
        </w:rPr>
        <w:t>05 · SCOPE</w:t>
      </w:r>
    </w:p>
    <w:p>
      <w:pPr>
        <w:pStyle w:val="Heading1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32"/>
        </w:rPr>
        <w:t>范围、非目标与成功指标</w:t>
      </w: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P0 0–6 个月：必须完整闭环</w:t>
      </w:r>
    </w:p>
    <w:p>
      <w:pPr>
        <w:keepNext w:val="0"/>
        <w:keepLines/>
        <w:numPr>
          <w:ilvl w:val="0"/>
          <w:numId w:val="10"/>
        </w:numPr>
        <w:spacing w:after="80" w:line="30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 xml:space="preserve">Seller onboarding &amp; MoR. 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KYB、产品审查、MoR 条款、税务/提现资料、生产激活。</w:t>
      </w:r>
    </w:p>
    <w:p>
      <w:pPr>
        <w:keepNext w:val="0"/>
        <w:keepLines/>
        <w:numPr>
          <w:ilvl w:val="0"/>
          <w:numId w:val="10"/>
        </w:numPr>
        <w:spacing w:after="80" w:line="30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 xml:space="preserve">Catalog &amp; Monetization. 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Item/Offer、subscription、fixed、usage、credits、discount、entitlement/license、hosted checkout。</w:t>
      </w:r>
    </w:p>
    <w:p>
      <w:pPr>
        <w:keepNext w:val="0"/>
        <w:keepLines/>
        <w:numPr>
          <w:ilvl w:val="0"/>
          <w:numId w:val="10"/>
        </w:numPr>
        <w:spacing w:after="80" w:line="30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 xml:space="preserve">Commerce Runtime. 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Quote、Order/Task、idempotency、state timeline、human fallback、refund/cancel。</w:t>
      </w:r>
    </w:p>
    <w:p>
      <w:pPr>
        <w:keepNext w:val="0"/>
        <w:keepLines/>
        <w:numPr>
          <w:ilvl w:val="0"/>
          <w:numId w:val="10"/>
        </w:numPr>
        <w:spacing w:after="80" w:line="30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 xml:space="preserve">Agent foundations. 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Principal、AgentIdentity、Mandate/Policy、MCP tools、Agent-originated 标记、x402 beta。</w:t>
      </w:r>
    </w:p>
    <w:p>
      <w:pPr>
        <w:keepNext w:val="0"/>
        <w:keepLines/>
        <w:numPr>
          <w:ilvl w:val="0"/>
          <w:numId w:val="10"/>
        </w:numPr>
        <w:spacing w:after="80" w:line="30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 xml:space="preserve">Tax &amp; Finance. 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数字服务分类、B2B/B2C、location evidence、invoice/credit note、三账本、settlement/payout。</w:t>
      </w:r>
    </w:p>
    <w:p>
      <w:pPr>
        <w:keepNext w:val="0"/>
        <w:keepLines/>
        <w:numPr>
          <w:ilvl w:val="0"/>
          <w:numId w:val="10"/>
        </w:numPr>
        <w:spacing w:after="80" w:line="30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 xml:space="preserve">Developer Platform. 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API、SDK、CLI、webhooks、emulator、replay、integration validation、test/shadow/live。</w:t>
      </w:r>
    </w:p>
    <w:p>
      <w:pPr>
        <w:keepNext w:val="0"/>
        <w:keepLines/>
        <w:numPr>
          <w:ilvl w:val="0"/>
          <w:numId w:val="10"/>
        </w:numPr>
        <w:spacing w:after="80" w:line="30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 xml:space="preserve">Risk &amp; Operations. 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Action Inbox、risk rules、budget/depth breakers、evidence package、dispute workflow。</w:t>
      </w: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P1 / P2 演进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6DF"/>
          <w:left w:val="single" w:sz="6" w:color="CDD6DF"/>
          <w:bottom w:val="single" w:sz="6" w:color="CDD6DF"/>
          <w:right w:val="single" w:sz="6" w:color="CDD6DF"/>
          <w:insideH w:val="single" w:sz="6" w:color="CDD6DF"/>
          <w:insideV w:val="single" w:sz="6" w:color="CDD6DF"/>
        </w:tblBorders>
      </w:tblPr>
      <w:tblGrid>
        <w:gridCol w:w="1450"/>
        <w:gridCol w:w="5550"/>
        <w:gridCol w:w="2360"/>
      </w:tblGrid>
      <w:tr>
        <w:trPr>
          <w:cantSplit/>
          <w:tblHeader w:val="true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阶段</w:t>
            </w:r>
          </w:p>
        </w:tc>
        <w:tc>
          <w:tcPr>
            <w:tcW w:type="dxa" w:w="5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新增能力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进入条件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P1 · 6–12 月</w:t>
            </w:r>
          </w:p>
        </w:tc>
        <w:tc>
          <w:tcPr>
            <w:tcW w:type="dxa" w:w="5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A2A Billing Agent；UCP/ACP；SPT；MPP；AP2 verifier；delegation chain；多 Agent 成本/分摊；企业 PO/commit/SSO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P0 自动完成率、对账、税务与争议指标稳定；至少 3 个设计伙伴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P2 · 12–24 月</w:t>
            </w:r>
          </w:p>
        </w:tc>
        <w:tc>
          <w:tcPr>
            <w:tcW w:type="dxa" w:w="55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AP4M/HNP；多腿结算；milestone/outcome/escrow；reputation；principal-guaranteed credit；自动采购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可验证证据标准、责任合同与资金牌照路径明确</w:t>
            </w:r>
          </w:p>
        </w:tc>
      </w:tr>
    </w:tbl>
    <w:p>
      <w:pPr>
        <w:spacing w:before="80" w:after="80"/>
      </w:pP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明确非目标</w:t>
      </w:r>
    </w:p>
    <w:p>
      <w:pPr>
        <w:keepNext w:val="0"/>
        <w:keepLines/>
        <w:numPr>
          <w:ilvl w:val="0"/>
          <w:numId w:val="10"/>
        </w:numPr>
        <w:spacing w:after="80" w:line="30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 xml:space="preserve">不做通用消费者钱包或购物 Agent。 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聚焦商业责任与开发者基础设施。</w:t>
      </w:r>
    </w:p>
    <w:p>
      <w:pPr>
        <w:keepNext w:val="0"/>
        <w:keepLines/>
        <w:numPr>
          <w:ilvl w:val="0"/>
          <w:numId w:val="10"/>
        </w:numPr>
        <w:spacing w:after="80" w:line="30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 xml:space="preserve">不自建卡网络 tokenization 或基础 PSP。 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以 provider abstraction 和 routing 接入。</w:t>
      </w:r>
    </w:p>
    <w:p>
      <w:pPr>
        <w:keepNext w:val="0"/>
        <w:keepLines/>
        <w:numPr>
          <w:ilvl w:val="0"/>
          <w:numId w:val="10"/>
        </w:numPr>
        <w:spacing w:after="80" w:line="30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 xml:space="preserve">不承诺无限 Agent 信用。 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P0 仅预付、预留或 principal/enterprise 明确担保。</w:t>
      </w:r>
    </w:p>
    <w:p>
      <w:pPr>
        <w:keepNext w:val="0"/>
        <w:keepLines/>
        <w:numPr>
          <w:ilvl w:val="0"/>
          <w:numId w:val="10"/>
        </w:numPr>
        <w:spacing w:after="80" w:line="30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 xml:space="preserve">不把外部协议作为核心 schema。 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协议变更由 adapter 吸收。</w:t>
      </w:r>
    </w:p>
    <w:p>
      <w:pPr>
        <w:keepNext w:val="0"/>
        <w:keepLines/>
        <w:numPr>
          <w:ilvl w:val="0"/>
          <w:numId w:val="10"/>
        </w:numPr>
        <w:spacing w:after="80" w:line="30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 xml:space="preserve">不默认存储 prompt 与完整模型输出。 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仅存 digest、URI、声明与最小争议证据。</w:t>
      </w:r>
    </w:p>
    <w:p>
      <w:pPr>
        <w:keepNext w:val="0"/>
        <w:keepLines/>
        <w:numPr>
          <w:ilvl w:val="0"/>
          <w:numId w:val="10"/>
        </w:numPr>
        <w:spacing w:after="80" w:line="30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 xml:space="preserve">不让 AI Copilot 自动批准高风险动作。 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AI 可建议、生成 diff、解释异常；审批仍由政策和人完成。</w:t>
      </w: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北极星与守护指标</w:t>
      </w:r>
    </w:p>
    <w:p>
      <w:pPr>
        <w:spacing w:before="100" w:after="200" w:line="276" w:lineRule="auto"/>
        <w:shd w:fill="E8F5F5"/>
        <w:keepNext w:val="0"/>
        <w:keepLines/>
        <w:pBdr>
          <w:left w:val="single" w:sz="18" w:space="8" w:color="087E8B"/>
        </w:pBdr>
        <w:ind w:left="180" w:right="180"/>
        <w:widowControl/>
      </w:pPr>
      <w:r>
        <w:rPr>
          <w:rFonts w:ascii="Noto Sans SC" w:hAnsi="Noto Sans SC" w:eastAsia="Noto Sans SC" w:cs="Noto Sans SC"/>
          <w:b/>
          <w:i w:val="0"/>
          <w:color w:val="0B5963"/>
          <w:sz w:val="18"/>
        </w:rPr>
        <w:t xml:space="preserve">NORTH STAR  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可自动完成、完整对账、税务正确且无需人工介入的 Agent-originated Gross Profit。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6DF"/>
          <w:left w:val="single" w:sz="6" w:color="CDD6DF"/>
          <w:bottom w:val="single" w:sz="6" w:color="CDD6DF"/>
          <w:right w:val="single" w:sz="6" w:color="CDD6DF"/>
          <w:insideH w:val="single" w:sz="6" w:color="CDD6DF"/>
          <w:insideV w:val="single" w:sz="6" w:color="CDD6DF"/>
        </w:tblBorders>
      </w:tblPr>
      <w:tblGrid>
        <w:gridCol w:w="1350"/>
        <w:gridCol w:w="4300"/>
        <w:gridCol w:w="3710"/>
      </w:tblGrid>
      <w:tr>
        <w:trPr>
          <w:cantSplit/>
          <w:tblHeader w:val="true"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指标组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核心指标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P0 目标 / 守护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增长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TPV、Net Revenue、Active Sellers、Active/Repeat Agents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按 ICP cohort 分层；不以补贴 TPV 替代毛利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自动化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Autonomous completion、step-up rate、manual review rate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自动完成率持续上升；高风险 step-up 不被优化掉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性能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p95 quote→authorization→receipt、webhook latency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Quote p95 &lt;300ms；99% webhook 首次尝试 &lt;60s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财务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Reconciliation rate、unexplained variance、settlement aging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确认账本 RPO=0；T+1 未解释差异=0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风险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Unauthorized/duplicate spend、refund/dispute/fraud loss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重复扣款=0；任何越权支出为 P0 incident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单位经济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Gross margin / 1k calls、rail/tax/risk cost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按 pricing model、rail、country 与 protocol 可解释</w:t>
            </w:r>
          </w:p>
        </w:tc>
      </w:tr>
    </w:tbl>
    <w:p>
      <w:pPr>
        <w:spacing w:before="80" w:after="80"/>
      </w:pPr>
    </w:p>
    <w:p>
      <w:pPr>
        <w:keepNext/>
        <w:keepLines w:val="0"/>
        <w:pageBreakBefore w:val="0"/>
        <w:spacing w:before="40" w:after="80"/>
        <w:widowControl/>
      </w:pPr>
      <w:r>
        <w:rPr>
          <w:rFonts w:ascii="Noto Sans SC" w:hAnsi="Noto Sans SC" w:eastAsia="Noto Sans SC" w:cs="Noto Sans SC"/>
          <w:b/>
          <w:i w:val="0"/>
          <w:color w:val="087E8B"/>
          <w:sz w:val="17"/>
        </w:rPr>
        <w:t>06 · ARCHITECTURE</w:t>
      </w:r>
    </w:p>
    <w:p>
      <w:pPr>
        <w:pStyle w:val="Heading1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32"/>
        </w:rPr>
        <w:t>产品系统架构与边界</w:t>
      </w:r>
    </w:p>
    <w:p>
      <w:pPr>
        <w:keepNext w:val="0"/>
        <w:keepLines/>
        <w:spacing w:before="60" w:after="60"/>
        <w:jc w:val="center"/>
        <w:widowControl/>
      </w:pPr>
      <w:r>
        <w:drawing>
          <wp:inline xmlns:a="http://schemas.openxmlformats.org/drawingml/2006/main" xmlns:pic="http://schemas.openxmlformats.org/drawingml/2006/picture">
            <wp:extent cx="5806440" cy="3235692"/>
            <wp:docPr id="4" name="Picture 4" title="Programmable MoR 产品架构" descr="双入口之下是控制平面、商务运行时、责任与财务系统以及外部协议和支付适配层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_architectu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35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after="160"/>
        <w:jc w:val="center"/>
        <w:widowControl/>
      </w:pPr>
      <w:r>
        <w:rPr>
          <w:rFonts w:ascii="Noto Sans SC" w:hAnsi="Noto Sans SC" w:eastAsia="Noto Sans SC" w:cs="Noto Sans SC"/>
          <w:b w:val="0"/>
          <w:i/>
          <w:color w:val="52616B"/>
          <w:sz w:val="16"/>
        </w:rPr>
        <w:t>图 2｜Dashboard 与 Agent tools 共用同一 API；外部协议只通过 adapter 进入 canonical runtime。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6DF"/>
          <w:left w:val="single" w:sz="6" w:color="CDD6DF"/>
          <w:bottom w:val="single" w:sz="6" w:color="CDD6DF"/>
          <w:right w:val="single" w:sz="6" w:color="CDD6DF"/>
          <w:insideH w:val="single" w:sz="6" w:color="CDD6DF"/>
          <w:insideV w:val="single" w:sz="6" w:color="CDD6DF"/>
        </w:tblBorders>
      </w:tblPr>
      <w:tblGrid>
        <w:gridCol w:w="1600"/>
        <w:gridCol w:w="2950"/>
        <w:gridCol w:w="2300"/>
        <w:gridCol w:w="2510"/>
      </w:tblGrid>
      <w:tr>
        <w:trPr>
          <w:cantSplit/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组件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职责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Source of Truth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边界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Experience Layer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Dashboard、Hosted/Embedded Checkout、SDK、CLI、MCP/A2A tools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无；只读写 API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不得绕过 policy、tax、ledger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Control Plane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Catalog、Offer、Pricing、Meter、Policy、Team、Configuration version/diff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Versioned config store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变更需验证/审批后发布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Commerce Runtime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Quote、Mandate verify、Reserve、Task、Usage、Evidence、Finalize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Append-only event + task state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幂等、可重放、可追踪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Responsibility Layer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MoR entity、terms、tax、invoice、refund/dispute、risk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Commercial ledger + decision snapshots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一条交易腿一个 MoR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Money &amp; Settlement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Payment abstraction、double-entry ledger、reconciliation、payout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Money ledger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余额不可直接编辑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Adapter Layer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PSP、bank、stablecoin、tax、identity、MCP/A2A/UCP/AP2/x402/MPP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Provider refs + normalized events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不得污染 canonical schema</w:t>
            </w:r>
          </w:p>
        </w:tc>
      </w:tr>
    </w:tbl>
    <w:p>
      <w:pPr>
        <w:spacing w:before="80" w:after="80"/>
      </w:pP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部署与多租户边界</w:t>
      </w:r>
    </w:p>
    <w:p>
      <w:pPr>
        <w:keepNext w:val="0"/>
        <w:keepLines/>
        <w:numPr>
          <w:ilvl w:val="0"/>
          <w:numId w:val="10"/>
        </w:numPr>
        <w:spacing w:after="80" w:line="30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 xml:space="preserve">Tenant hierarchy. 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Organization → Workspace → Environment；Platform 可在 Workspace 下创建 Tenant/Vendor 子域。</w:t>
      </w:r>
    </w:p>
    <w:p>
      <w:pPr>
        <w:keepNext w:val="0"/>
        <w:keepLines/>
        <w:numPr>
          <w:ilvl w:val="0"/>
          <w:numId w:val="10"/>
        </w:numPr>
        <w:spacing w:after="80" w:line="30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 xml:space="preserve">Environment isolation. 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Test/Staging/Live 的密钥、webhook、余额、税务和对象 ID 必须隔离；复制配置需显式 diff。</w:t>
      </w:r>
    </w:p>
    <w:p>
      <w:pPr>
        <w:keepNext w:val="0"/>
        <w:keepLines/>
        <w:numPr>
          <w:ilvl w:val="0"/>
          <w:numId w:val="10"/>
        </w:numPr>
        <w:spacing w:after="80" w:line="30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 xml:space="preserve">Regional routing. 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PII、evidence 与账本按数据驻留政策分区；资金与税务路由以 MoR entity 为边界。</w:t>
      </w:r>
    </w:p>
    <w:p>
      <w:pPr>
        <w:keepNext w:val="0"/>
        <w:keepLines/>
        <w:numPr>
          <w:ilvl w:val="0"/>
          <w:numId w:val="10"/>
        </w:numPr>
        <w:spacing w:after="80" w:line="30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 xml:space="preserve">Protocol isolation. 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每个 adapter 维护版本兼容和映射测试；canonical API 在 minor release 内向后兼容。</w:t>
      </w:r>
    </w:p>
    <w:p>
      <w:pPr>
        <w:keepNext/>
        <w:keepLines w:val="0"/>
        <w:pageBreakBefore/>
        <w:spacing w:before="40" w:after="80"/>
        <w:widowControl/>
      </w:pPr>
      <w:r>
        <w:rPr>
          <w:rFonts w:ascii="Noto Sans SC" w:hAnsi="Noto Sans SC" w:eastAsia="Noto Sans SC" w:cs="Noto Sans SC"/>
          <w:b/>
          <w:i w:val="0"/>
          <w:color w:val="087E8B"/>
          <w:sz w:val="17"/>
        </w:rPr>
        <w:t>07 · INFORMATION ARCHITECTURE</w:t>
      </w:r>
    </w:p>
    <w:p>
      <w:pPr>
        <w:pStyle w:val="Heading1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32"/>
        </w:rPr>
        <w:t>全局导航、渐进披露与旧心智迁移</w:t>
      </w: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全局 Shell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6DF"/>
          <w:left w:val="single" w:sz="6" w:color="CDD6DF"/>
          <w:bottom w:val="single" w:sz="6" w:color="CDD6DF"/>
          <w:right w:val="single" w:sz="6" w:color="CDD6DF"/>
          <w:insideH w:val="single" w:sz="6" w:color="CDD6DF"/>
          <w:insideV w:val="single" w:sz="6" w:color="CDD6DF"/>
        </w:tblBorders>
      </w:tblPr>
      <w:tblGrid>
        <w:gridCol w:w="1750"/>
        <w:gridCol w:w="3640"/>
        <w:gridCol w:w="3970"/>
      </w:tblGrid>
      <w:tr>
        <w:trPr>
          <w:cantSplit/>
          <w:tblHeader w:val="true"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区域</w:t>
            </w:r>
          </w:p>
        </w:tc>
        <w:tc>
          <w:tcPr>
            <w:tcW w:type="dxa" w:w="3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规格</w:t>
            </w:r>
          </w:p>
        </w:tc>
        <w:tc>
          <w:tcPr>
            <w:tcW w:type="dxa" w:w="39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交互规则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Workspace / Environment</w:t>
            </w:r>
          </w:p>
        </w:tc>
        <w:tc>
          <w:tcPr>
            <w:tcW w:type="dxa" w:w="36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Organization、Workspace；Test/Staging/Live</w:t>
            </w:r>
          </w:p>
        </w:tc>
        <w:tc>
          <w:tcPr>
            <w:tcW w:type="dxa" w:w="397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环境常驻可见；Live 使用高对比标识；切换不携带未保存状态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Perspective</w:t>
            </w:r>
          </w:p>
        </w:tc>
        <w:tc>
          <w:tcPr>
            <w:tcW w:type="dxa" w:w="364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Sell / Buy / Platform / All</w:t>
            </w:r>
          </w:p>
        </w:tc>
        <w:tc>
          <w:tcPr>
            <w:tcW w:type="dxa" w:w="397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按角色默认；切换只改变投影，不改变对象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Global Search / Command</w:t>
            </w:r>
          </w:p>
        </w:tc>
        <w:tc>
          <w:tcPr>
            <w:tcW w:type="dxa" w:w="36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跨 Item、Task、Payment、Invoice、Agent、trace_id</w:t>
            </w:r>
          </w:p>
        </w:tc>
        <w:tc>
          <w:tcPr>
            <w:tcW w:type="dxa" w:w="397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支持 ⌘K；精确 ID 优先；敏感字段按权限脱敏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Create</w:t>
            </w:r>
          </w:p>
        </w:tc>
        <w:tc>
          <w:tcPr>
            <w:tcW w:type="dxa" w:w="364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Item、Offer、Checkout、Agent、Mandate、Refund</w:t>
            </w:r>
          </w:p>
        </w:tc>
        <w:tc>
          <w:tcPr>
            <w:tcW w:type="dxa" w:w="397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根据当前上下文排序；不可用动作显示原因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Action Inbox</w:t>
            </w:r>
          </w:p>
        </w:tc>
        <w:tc>
          <w:tcPr>
            <w:tcW w:type="dxa" w:w="36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KYB、step-up、failed payout、tax issue、dispute、webhook failure</w:t>
            </w:r>
          </w:p>
        </w:tc>
        <w:tc>
          <w:tcPr>
            <w:tcW w:type="dxa" w:w="397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按金额/时限/风险排序；每项可解释影响与 owner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Health</w:t>
            </w:r>
          </w:p>
        </w:tc>
        <w:tc>
          <w:tcPr>
            <w:tcW w:type="dxa" w:w="364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API、webhook、provider、settlement、compliance</w:t>
            </w:r>
          </w:p>
        </w:tc>
        <w:tc>
          <w:tcPr>
            <w:tcW w:type="dxa" w:w="397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绿/黄/红；点击进入 incident 或 trace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AI Copilot</w:t>
            </w:r>
          </w:p>
        </w:tc>
        <w:tc>
          <w:tcPr>
            <w:tcW w:type="dxa" w:w="36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解释、生成配置草案、SQL/规则/SDK 示例、异常摘要</w:t>
            </w:r>
          </w:p>
        </w:tc>
        <w:tc>
          <w:tcPr>
            <w:tcW w:type="dxa" w:w="397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只生成 diff；高风险动作禁止自批</w:t>
            </w:r>
          </w:p>
        </w:tc>
      </w:tr>
    </w:tbl>
    <w:p>
      <w:pPr>
        <w:spacing w:before="80" w:after="80"/>
      </w:pP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推荐导航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6DF"/>
          <w:left w:val="single" w:sz="6" w:color="CDD6DF"/>
          <w:bottom w:val="single" w:sz="6" w:color="CDD6DF"/>
          <w:right w:val="single" w:sz="6" w:color="CDD6DF"/>
          <w:insideH w:val="single" w:sz="6" w:color="CDD6DF"/>
          <w:insideV w:val="single" w:sz="6" w:color="CDD6DF"/>
        </w:tblBorders>
      </w:tblPr>
      <w:tblGrid>
        <w:gridCol w:w="1400"/>
        <w:gridCol w:w="4300"/>
        <w:gridCol w:w="3660"/>
      </w:tblGrid>
      <w:tr>
        <w:trPr>
          <w:cantSplit/>
          <w:tblHeader w:val="true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一级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二级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默认角色 / 渐进规则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Home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Activation Center、Action Inbox、KPIs、Health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所有角色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Catalog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Items；Offers；Pricing &amp; Meters；Entitlements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Seller；Agent-callable 开启后显示 Capability 配置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Commerce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Orders；Tasks；Subscriptions &amp; Contracts；Purchases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Orders 默认；Tasks/Purchases 按 Agent/Buy feature 开启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Parties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Customers &amp; Principals；Agents；Vendors；Mandates &amp; Policies；Tenants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Customers 默认；其余按工作区目标与角色显示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Finance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Transactions；Balance &amp; Payouts；Invoices &amp; Tax；Refunds &amp; Disputes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Finance/Admin；金额统一来自 ledger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Operations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Analytics；Risk；Traces &amp; Events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Ops/Risk/Developer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Developers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Quickstarts；Integrations；API Keys &amp; Identities；Webhooks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Developer；支持代码优先和 Agent 工具注册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Settings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Business &amp; Brand；Checkout &amp; Rails；Team &amp; Roles；Compliance；Feature Modules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Admin；高风险变更双人审批</w:t>
            </w:r>
          </w:p>
        </w:tc>
      </w:tr>
    </w:tbl>
    <w:p>
      <w:pPr>
        <w:spacing w:before="80" w:after="80"/>
      </w:pP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从旧对象到新对象的无痛迁移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6DF"/>
          <w:left w:val="single" w:sz="6" w:color="CDD6DF"/>
          <w:bottom w:val="single" w:sz="6" w:color="CDD6DF"/>
          <w:right w:val="single" w:sz="6" w:color="CDD6DF"/>
          <w:insideH w:val="single" w:sz="6" w:color="CDD6DF"/>
          <w:insideV w:val="single" w:sz="6" w:color="CDD6DF"/>
        </w:tblBorders>
      </w:tblPr>
      <w:tblGrid>
        <w:gridCol w:w="1550"/>
        <w:gridCol w:w="2200"/>
        <w:gridCol w:w="2690"/>
        <w:gridCol w:w="2920"/>
      </w:tblGrid>
      <w:tr>
        <w:trPr>
          <w:cantSplit/>
          <w:tblHeader w:val="true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当前心智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新对象</w:t>
            </w:r>
          </w:p>
        </w:tc>
        <w:tc>
          <w:tcPr>
            <w:tcW w:type="dxa" w:w="2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用户看到什么</w:t>
            </w:r>
          </w:p>
        </w:tc>
        <w:tc>
          <w:tcPr>
            <w:tcW w:type="dxa" w:w="2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内核升级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Product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Catalog Item</w:t>
            </w:r>
          </w:p>
        </w:tc>
        <w:tc>
          <w:tcPr>
            <w:tcW w:type="dxa" w:w="269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仍称“产品/服务”；可选 Agent-callable</w:t>
            </w:r>
          </w:p>
        </w:tc>
        <w:tc>
          <w:tcPr>
            <w:tcW w:type="dxa" w:w="29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稳定 identity + versioned capability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Price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Offer + RateCardVersion</w:t>
            </w:r>
          </w:p>
        </w:tc>
        <w:tc>
          <w:tcPr>
            <w:tcW w:type="dxa" w:w="269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价格页仍从固定/订阅/用量开始</w:t>
            </w:r>
          </w:p>
        </w:tc>
        <w:tc>
          <w:tcPr>
            <w:tcW w:type="dxa" w:w="292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报价固定价格、条款、schema 与 tax class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Meter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Meter + UsageEvent</w:t>
            </w:r>
          </w:p>
        </w:tc>
        <w:tc>
          <w:tcPr>
            <w:tcW w:type="dxa" w:w="269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原有 meter 保留</w:t>
            </w:r>
          </w:p>
        </w:tc>
        <w:tc>
          <w:tcPr>
            <w:tcW w:type="dxa" w:w="29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trusted source、late window、adjustment、evidence link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Customer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Party / Principal</w:t>
            </w:r>
          </w:p>
        </w:tc>
        <w:tc>
          <w:tcPr>
            <w:tcW w:type="dxa" w:w="269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普通买家仍显示 Customer</w:t>
            </w:r>
          </w:p>
        </w:tc>
        <w:tc>
          <w:tcPr>
            <w:tcW w:type="dxa" w:w="292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可挂 Agent、Mandate、tenant 与 legal profile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Order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Order / CommerceTask</w:t>
            </w:r>
          </w:p>
        </w:tc>
        <w:tc>
          <w:tcPr>
            <w:tcW w:type="dxa" w:w="269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即买即得显示 Order；执行型服务显示 Task</w:t>
            </w:r>
          </w:p>
        </w:tc>
        <w:tc>
          <w:tcPr>
            <w:tcW w:type="dxa" w:w="29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共享 Quote、Payment、Tax、Ledger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Payment Link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Checkout Session / Quote Link</w:t>
            </w:r>
          </w:p>
        </w:tc>
        <w:tc>
          <w:tcPr>
            <w:tcW w:type="dxa" w:w="269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保持一键链接</w:t>
            </w:r>
          </w:p>
        </w:tc>
        <w:tc>
          <w:tcPr>
            <w:tcW w:type="dxa" w:w="292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可由 Agent 读取、预填并触发 step-up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Dashboard Setting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Versioned Configuration</w:t>
            </w:r>
          </w:p>
        </w:tc>
        <w:tc>
          <w:tcPr>
            <w:tcW w:type="dxa" w:w="269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表单保存后显示 diff</w:t>
            </w:r>
          </w:p>
        </w:tc>
        <w:tc>
          <w:tcPr>
            <w:tcW w:type="dxa" w:w="29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CI/API/Agent 也可读写，带 ETag 与审批</w:t>
            </w:r>
          </w:p>
        </w:tc>
      </w:tr>
    </w:tbl>
    <w:p>
      <w:pPr>
        <w:spacing w:before="80" w:after="80"/>
      </w:pP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渐进披露规则</w:t>
      </w:r>
    </w:p>
    <w:p>
      <w:pPr>
        <w:keepNext w:val="0"/>
        <w:keepLines/>
        <w:numPr>
          <w:ilvl w:val="0"/>
          <w:numId w:val="10"/>
        </w:numPr>
        <w:spacing w:after="80" w:line="30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 xml:space="preserve">工作区目标决定起点。 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创建时选择：卖 SaaS/数字产品、卖 API/Agent 服务、让 Agent 采购、搭平台。</w:t>
      </w:r>
    </w:p>
    <w:p>
      <w:pPr>
        <w:keepNext w:val="0"/>
        <w:keepLines/>
        <w:numPr>
          <w:ilvl w:val="0"/>
          <w:numId w:val="10"/>
        </w:numPr>
        <w:spacing w:after="80" w:line="30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 xml:space="preserve">普通表单优先。 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Item 先显示名称、描述、价格、税类、权益；开启 Agent-callable 才显示 input/output schema、evidence、timeout、subagent policy。</w:t>
      </w:r>
    </w:p>
    <w:p>
      <w:pPr>
        <w:keepNext w:val="0"/>
        <w:keepLines/>
        <w:numPr>
          <w:ilvl w:val="0"/>
          <w:numId w:val="10"/>
        </w:numPr>
        <w:spacing w:after="80" w:line="30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 xml:space="preserve">价格先简单后高级。 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Fixed/Subscription/Usage/Credits 为首屏；tier、commit、milestone、outcome 在 Advanced。</w:t>
      </w:r>
    </w:p>
    <w:p>
      <w:pPr>
        <w:keepNext w:val="0"/>
        <w:keepLines/>
        <w:numPr>
          <w:ilvl w:val="0"/>
          <w:numId w:val="10"/>
        </w:numPr>
        <w:spacing w:after="80" w:line="30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 xml:space="preserve">自主性分阶段。 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Draft → Sandbox → Shadow → Allowlist → Low Budget → Autonomous；每级有可量化进入条件。</w:t>
      </w:r>
    </w:p>
    <w:p>
      <w:pPr>
        <w:keepNext w:val="0"/>
        <w:keepLines/>
        <w:numPr>
          <w:ilvl w:val="0"/>
          <w:numId w:val="10"/>
        </w:numPr>
        <w:spacing w:after="80" w:line="30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 xml:space="preserve">导航按角色裁剪。 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Developer 不被 payout/KYB 淹没，Finance 不被 SDK 细节淹没；全局搜索仍可在权限内找到对象。</w:t>
      </w:r>
    </w:p>
    <w:p>
      <w:pPr>
        <w:keepNext/>
        <w:keepLines w:val="0"/>
        <w:pageBreakBefore/>
        <w:spacing w:before="40" w:after="80"/>
        <w:widowControl/>
      </w:pPr>
      <w:r>
        <w:rPr>
          <w:rFonts w:ascii="Noto Sans SC" w:hAnsi="Noto Sans SC" w:eastAsia="Noto Sans SC" w:cs="Noto Sans SC"/>
          <w:b/>
          <w:i w:val="0"/>
          <w:color w:val="087E8B"/>
          <w:sz w:val="17"/>
        </w:rPr>
        <w:t>08 · ONBOARDING</w:t>
      </w:r>
    </w:p>
    <w:p>
      <w:pPr>
        <w:pStyle w:val="Heading1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32"/>
        </w:rPr>
        <w:t>从注册到首笔生产交易</w:t>
      </w: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统一 onboarding</w:t>
      </w:r>
    </w:p>
    <w:p>
      <w:pPr>
        <w:keepNext w:val="0"/>
        <w:keepLines/>
        <w:numPr>
          <w:ilvl w:val="0"/>
          <w:numId w:val="12"/>
        </w:numPr>
        <w:spacing w:after="80" w:line="30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>选择目标。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基于产品形态生成默认导航、示例对象和检查清单；可随时切换，不锁定架构。</w:t>
      </w:r>
    </w:p>
    <w:p>
      <w:pPr>
        <w:keepNext w:val="0"/>
        <w:keepLines/>
        <w:numPr>
          <w:ilvl w:val="0"/>
          <w:numId w:val="12"/>
        </w:numPr>
        <w:spacing w:after="80" w:line="30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>创建 Sandbox。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自动生成 test workspace、principal、agent、seller、payment method、capability 与签名 webhook endpoint。</w:t>
      </w:r>
    </w:p>
    <w:p>
      <w:pPr>
        <w:keepNext w:val="0"/>
        <w:keepLines/>
        <w:numPr>
          <w:ilvl w:val="0"/>
          <w:numId w:val="12"/>
        </w:numPr>
        <w:spacing w:after="80" w:line="30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>跑通首笔交易。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在 10 分钟内完成 Quote → Mandate/Consent → Reserve/Pay → Execute/Deliver → Meter → Evidence → Receipt。</w:t>
      </w:r>
    </w:p>
    <w:p>
      <w:pPr>
        <w:keepNext w:val="0"/>
        <w:keepLines/>
        <w:numPr>
          <w:ilvl w:val="0"/>
          <w:numId w:val="12"/>
        </w:numPr>
        <w:spacing w:after="80" w:line="30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>验证集成。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检查 schema、idempotency、webhook signature、meter、错误处理、trace、refund；生成可下载报告。</w:t>
      </w:r>
    </w:p>
    <w:p>
      <w:pPr>
        <w:keepNext w:val="0"/>
        <w:keepLines/>
        <w:numPr>
          <w:ilvl w:val="0"/>
          <w:numId w:val="12"/>
        </w:numPr>
        <w:spacing w:after="80" w:line="30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>完成生产激活。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KYB、产品/税类、payout、条款、agent identity/risk contact、live secret、domain 与 webhook。</w:t>
      </w:r>
    </w:p>
    <w:p>
      <w:pPr>
        <w:keepNext w:val="0"/>
        <w:keepLines/>
        <w:numPr>
          <w:ilvl w:val="0"/>
          <w:numId w:val="12"/>
        </w:numPr>
        <w:spacing w:after="80" w:line="30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>逐级放权。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Sandbox → Shadow → Allowlist → Low Budget → Autonomous；系统展示每级剩余阻断项。</w:t>
      </w: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黄金路径与关键体验指标</w:t>
      </w:r>
    </w:p>
    <w:p>
      <w:pPr>
        <w:keepNext w:val="0"/>
        <w:keepLines/>
        <w:spacing w:before="60" w:after="60"/>
        <w:jc w:val="center"/>
        <w:widowControl/>
      </w:pPr>
      <w:r>
        <w:drawing>
          <wp:inline xmlns:a="http://schemas.openxmlformats.org/drawingml/2006/main" xmlns:pic="http://schemas.openxmlformats.org/drawingml/2006/picture">
            <wp:extent cx="5806440" cy="3059963"/>
            <wp:docPr id="5" name="Picture 5" title="今天与未来的双路径" descr="上方是当前人类或应用发起的产品、价格、checkout、支付税、webhook权益与结算；下方是 Agent 的发现、报价、授权、预留、执行计量、证据结算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ual_journe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059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after="160"/>
        <w:jc w:val="center"/>
        <w:widowControl/>
      </w:pPr>
      <w:r>
        <w:rPr>
          <w:rFonts w:ascii="Noto Sans SC" w:hAnsi="Noto Sans SC" w:eastAsia="Noto Sans SC" w:cs="Noto Sans SC"/>
          <w:b w:val="0"/>
          <w:i/>
          <w:color w:val="52616B"/>
          <w:sz w:val="16"/>
        </w:rPr>
        <w:t>图 3｜两条入口共用同一商业与财务内核；产品无需在“今天”与“未来”之间二选一。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6DF"/>
          <w:left w:val="single" w:sz="6" w:color="CDD6DF"/>
          <w:bottom w:val="single" w:sz="6" w:color="CDD6DF"/>
          <w:right w:val="single" w:sz="6" w:color="CDD6DF"/>
          <w:insideH w:val="single" w:sz="6" w:color="CDD6DF"/>
          <w:insideV w:val="single" w:sz="6" w:color="CDD6DF"/>
        </w:tblBorders>
      </w:tblPr>
      <w:tblGrid>
        <w:gridCol w:w="1600"/>
        <w:gridCol w:w="3000"/>
        <w:gridCol w:w="2590"/>
        <w:gridCol w:w="2170"/>
      </w:tblGrid>
      <w:tr>
        <w:trPr>
          <w:cantSplit/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阶段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必须展示</w:t>
            </w:r>
          </w:p>
        </w:tc>
        <w:tc>
          <w:tcPr>
            <w:tcW w:type="dxa" w:w="25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不得发生</w:t>
            </w:r>
          </w:p>
        </w:tc>
        <w:tc>
          <w:tcPr>
            <w:tcW w:type="dxa" w:w="2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成功标准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Quickstart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可复制 SDK/MCP 示例、预期 response、trace link</w:t>
            </w:r>
          </w:p>
        </w:tc>
        <w:tc>
          <w:tcPr>
            <w:tcW w:type="dxa" w:w="259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先要求完整 KYB 才能测试</w:t>
            </w:r>
          </w:p>
        </w:tc>
        <w:tc>
          <w:tcPr>
            <w:tcW w:type="dxa" w:w="217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首个有效 sandbox transaction &lt;10 分钟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Integration Check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每项 pass/fail、修复代码、重放按钮</w:t>
            </w:r>
          </w:p>
        </w:tc>
        <w:tc>
          <w:tcPr>
            <w:tcW w:type="dxa" w:w="259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只显示“something went wrong”</w:t>
            </w:r>
          </w:p>
        </w:tc>
        <w:tc>
          <w:tcPr>
            <w:tcW w:type="dxa" w:w="217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schema/idempotency/webhook/meter/error/trace/refund 全通过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Go Live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阻断项、责任 owner、预计时间、测试→生产 diff</w:t>
            </w:r>
          </w:p>
        </w:tc>
        <w:tc>
          <w:tcPr>
            <w:tcW w:type="dxa" w:w="259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自动复制 test keys/data</w:t>
            </w:r>
          </w:p>
        </w:tc>
        <w:tc>
          <w:tcPr>
            <w:tcW w:type="dxa" w:w="217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无未完成 KYB/tax/payout/terms/risk item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Autonomy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预算、供应商、用途、有效期、深度、证据规则</w:t>
            </w:r>
          </w:p>
        </w:tc>
        <w:tc>
          <w:tcPr>
            <w:tcW w:type="dxa" w:w="259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默认无限额或长期 mandate</w:t>
            </w:r>
          </w:p>
        </w:tc>
        <w:tc>
          <w:tcPr>
            <w:tcW w:type="dxa" w:w="217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每笔 Agent spend 可归因、可解释、可撤销</w:t>
            </w:r>
          </w:p>
        </w:tc>
      </w:tr>
    </w:tbl>
    <w:p>
      <w:pPr>
        <w:spacing w:before="80" w:after="80"/>
      </w:pP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统一空状态与错误状态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6DF"/>
          <w:left w:val="single" w:sz="6" w:color="CDD6DF"/>
          <w:bottom w:val="single" w:sz="6" w:color="CDD6DF"/>
          <w:right w:val="single" w:sz="6" w:color="CDD6DF"/>
          <w:insideH w:val="single" w:sz="6" w:color="CDD6DF"/>
          <w:insideV w:val="single" w:sz="6" w:color="CDD6DF"/>
        </w:tblBorders>
      </w:tblPr>
      <w:tblGrid>
        <w:gridCol w:w="1250"/>
        <w:gridCol w:w="4800"/>
        <w:gridCol w:w="3310"/>
      </w:tblGrid>
      <w:tr>
        <w:trPr>
          <w:cantSplit/>
          <w:tblHeader w:val="true"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状态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内容规范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示例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Empty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一个主操作 + 可运行示例 + import 路径 + 一句“为何要做”；最多两个次操作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“还没有 Offer” → 创建 Offer；运行 AI API 用量模板；从 Stripe/Paddle 导入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Error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发生了什么、影响对象/金额、责任方、安全重试条件、下一动作、trace_id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“授权不足：本次报价 USD 48 超过 mandate 单笔 USD 25；请求 step-up”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Partial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已完成与未完成分开；允许仅重试安全步骤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已交付 3/5 milestone；已 capture USD 30，保留 USD 20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Pending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说明等待外部方、到期、可取消性与资金状态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等待 3DS；reservation 未 capture，15 分钟后释放</w:t>
            </w:r>
          </w:p>
        </w:tc>
      </w:tr>
    </w:tbl>
    <w:p>
      <w:pPr>
        <w:spacing w:before="80" w:after="80"/>
      </w:pPr>
    </w:p>
    <w:p>
      <w:pPr>
        <w:keepNext/>
        <w:keepLines w:val="0"/>
        <w:pageBreakBefore/>
        <w:spacing w:before="40" w:after="80"/>
        <w:widowControl/>
      </w:pPr>
      <w:r>
        <w:rPr>
          <w:rFonts w:ascii="Noto Sans SC" w:hAnsi="Noto Sans SC" w:eastAsia="Noto Sans SC" w:cs="Noto Sans SC"/>
          <w:b/>
          <w:i w:val="0"/>
          <w:color w:val="087E8B"/>
          <w:sz w:val="17"/>
        </w:rPr>
        <w:t>09 · EXPERIENCE SPECIFICATION</w:t>
      </w:r>
    </w:p>
    <w:p>
      <w:pPr>
        <w:pStyle w:val="Heading1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32"/>
        </w:rPr>
        <w:t>Dashboard 关键页面规格</w:t>
      </w:r>
    </w:p>
    <w:p>
      <w:pPr>
        <w:keepNext w:val="0"/>
        <w:keepLines w:val="0"/>
        <w:spacing w:after="120"/>
        <w:jc w:val="left"/>
        <w:widowControl/>
      </w:pPr>
      <w:r>
        <w:rPr>
          <w:rFonts w:ascii="Noto Sans SC" w:hAnsi="Noto Sans SC" w:eastAsia="Noto Sans SC" w:cs="Noto Sans SC"/>
          <w:b w:val="0"/>
          <w:i w:val="0"/>
          <w:color w:val="102A43"/>
          <w:sz w:val="22"/>
        </w:rPr>
        <w:t>页面是 canonical resources 的任务化投影。所有详情页 MUST 显示：环境、状态、版本、责任主体、trace_id、变更历史和权限受限原因；任何金额 MUST 可下钻到 ledger entry。</w:t>
      </w: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页面逐项规格</w:t>
      </w:r>
    </w:p>
    <w:p>
      <w:pPr>
        <w:pStyle w:val="Heading3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1F4D78"/>
          <w:sz w:val="24"/>
        </w:rPr>
        <w:t>P01  Home / Activation Center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6DF"/>
          <w:left w:val="single" w:sz="6" w:color="CDD6DF"/>
          <w:bottom w:val="single" w:sz="6" w:color="CDD6DF"/>
          <w:right w:val="single" w:sz="6" w:color="CDD6DF"/>
          <w:insideH w:val="single" w:sz="6" w:color="CDD6DF"/>
          <w:insideV w:val="single" w:sz="6" w:color="CDD6DF"/>
        </w:tblBorders>
      </w:tblPr>
      <w:tblGrid>
        <w:gridCol w:w="1550"/>
        <w:gridCol w:w="7810"/>
      </w:tblGrid>
      <w:tr>
        <w:trPr>
          <w:cantSplit/>
          <w:tblHeader w:val="true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属性</w:t>
            </w:r>
          </w:p>
        </w:tc>
        <w:tc>
          <w:tcPr>
            <w:tcW w:type="dxa" w:w="7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规格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路由 / 版本</w:t>
            </w:r>
          </w:p>
        </w:tc>
        <w:tc>
          <w:tcPr>
            <w:tcW w:type="dxa" w:w="78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/home · P0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用户目标</w:t>
            </w:r>
          </w:p>
        </w:tc>
        <w:tc>
          <w:tcPr>
            <w:tcW w:type="dxa" w:w="78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知道“现在最需要处理什么”，并推进首次交易或生产健康度。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核心模块</w:t>
            </w:r>
          </w:p>
        </w:tc>
        <w:tc>
          <w:tcPr>
            <w:tcW w:type="dxa" w:w="78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Goal-aware checklist；Action Inbox；today/7d KPIs；API/webhook/provider/settlement/compliance health；recent activity。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主操作</w:t>
            </w:r>
          </w:p>
        </w:tc>
        <w:tc>
          <w:tcPr>
            <w:tcW w:type="dxa" w:w="78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Continue setup；resolve action；replay failed event；create Item/Offer；switch environment。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空 / 错误状态</w:t>
            </w:r>
          </w:p>
        </w:tc>
        <w:tc>
          <w:tcPr>
            <w:tcW w:type="dxa" w:w="78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新用户显示可运行 demo；健康时不制造告警；阻断项显示金额/期限/owner；数据延迟单独标记。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验收</w:t>
            </w:r>
          </w:p>
        </w:tc>
        <w:tc>
          <w:tcPr>
            <w:tcW w:type="dxa" w:w="78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首屏 5 秒内回答：能否交易、是否有资金/合规风险、下一步是什么；所有卡片可追溯到对象。</w:t>
            </w:r>
          </w:p>
        </w:tc>
      </w:tr>
    </w:tbl>
    <w:p>
      <w:pPr>
        <w:spacing w:before="80" w:after="80"/>
      </w:pPr>
    </w:p>
    <w:p>
      <w:pPr>
        <w:pStyle w:val="Heading3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1F4D78"/>
          <w:sz w:val="24"/>
        </w:rPr>
        <w:t>P02  Catalog / Items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6DF"/>
          <w:left w:val="single" w:sz="6" w:color="CDD6DF"/>
          <w:bottom w:val="single" w:sz="6" w:color="CDD6DF"/>
          <w:right w:val="single" w:sz="6" w:color="CDD6DF"/>
          <w:insideH w:val="single" w:sz="6" w:color="CDD6DF"/>
          <w:insideV w:val="single" w:sz="6" w:color="CDD6DF"/>
        </w:tblBorders>
      </w:tblPr>
      <w:tblGrid>
        <w:gridCol w:w="1550"/>
        <w:gridCol w:w="7810"/>
      </w:tblGrid>
      <w:tr>
        <w:trPr>
          <w:cantSplit/>
          <w:tblHeader w:val="true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属性</w:t>
            </w:r>
          </w:p>
        </w:tc>
        <w:tc>
          <w:tcPr>
            <w:tcW w:type="dxa" w:w="7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规格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路由 / 版本</w:t>
            </w:r>
          </w:p>
        </w:tc>
        <w:tc>
          <w:tcPr>
            <w:tcW w:type="dxa" w:w="78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/catalog/items · P0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用户目标</w:t>
            </w:r>
          </w:p>
        </w:tc>
        <w:tc>
          <w:tcPr>
            <w:tcW w:type="dxa" w:w="78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建立可销售或可被 Agent 调用的稳定产品/服务身份。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核心模块</w:t>
            </w:r>
          </w:p>
        </w:tc>
        <w:tc>
          <w:tcPr>
            <w:tcW w:type="dxa" w:w="78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List/grid；status；type；agent-callable；active offers；revenue/usage；version；validation issues；filters。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主操作</w:t>
            </w:r>
          </w:p>
        </w:tc>
        <w:tc>
          <w:tcPr>
            <w:tcW w:type="dxa" w:w="78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Create from template；import；duplicate；archive；publish version；bulk tax classification review。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空 / 错误状态</w:t>
            </w:r>
          </w:p>
        </w:tc>
        <w:tc>
          <w:tcPr>
            <w:tcW w:type="dxa" w:w="78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Empty 提供 SaaS、API/MCP、digital download、license 模板；invalid item 精确指出 schema/offer/tax 缺口。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验收</w:t>
            </w:r>
          </w:p>
        </w:tc>
        <w:tc>
          <w:tcPr>
            <w:tcW w:type="dxa" w:w="78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可在 2 分钟创建基础 Item；归档不影响历史订单；breaking change 强制新 major version。</w:t>
            </w:r>
          </w:p>
        </w:tc>
      </w:tr>
    </w:tbl>
    <w:p>
      <w:pPr>
        <w:spacing w:before="80" w:after="80"/>
      </w:pPr>
    </w:p>
    <w:p>
      <w:pPr>
        <w:pStyle w:val="Heading3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1F4D78"/>
          <w:sz w:val="24"/>
        </w:rPr>
        <w:t>P03  Catalog Item Detail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6DF"/>
          <w:left w:val="single" w:sz="6" w:color="CDD6DF"/>
          <w:bottom w:val="single" w:sz="6" w:color="CDD6DF"/>
          <w:right w:val="single" w:sz="6" w:color="CDD6DF"/>
          <w:insideH w:val="single" w:sz="6" w:color="CDD6DF"/>
          <w:insideV w:val="single" w:sz="6" w:color="CDD6DF"/>
        </w:tblBorders>
      </w:tblPr>
      <w:tblGrid>
        <w:gridCol w:w="1550"/>
        <w:gridCol w:w="7810"/>
      </w:tblGrid>
      <w:tr>
        <w:trPr>
          <w:cantSplit/>
          <w:tblHeader w:val="true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属性</w:t>
            </w:r>
          </w:p>
        </w:tc>
        <w:tc>
          <w:tcPr>
            <w:tcW w:type="dxa" w:w="7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规格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路由 / 版本</w:t>
            </w:r>
          </w:p>
        </w:tc>
        <w:tc>
          <w:tcPr>
            <w:tcW w:type="dxa" w:w="78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/catalog/items/:id · P0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用户目标</w:t>
            </w:r>
          </w:p>
        </w:tc>
        <w:tc>
          <w:tcPr>
            <w:tcW w:type="dxa" w:w="78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在一个页面定义商业展示、交付、权益和机器调用契约。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核心模块</w:t>
            </w:r>
          </w:p>
        </w:tc>
        <w:tc>
          <w:tcPr>
            <w:tcW w:type="dxa" w:w="78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Overview；Offers；Entitlements；Delivery；Agent API；Tax &amp; Compliance；Versions；Change log。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主操作</w:t>
            </w:r>
          </w:p>
        </w:tc>
        <w:tc>
          <w:tcPr>
            <w:tcW w:type="dxa" w:w="78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Edit draft；validate；preview checkout/tool card；publish；compare versions；deprecate。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空 / 错误状态</w:t>
            </w:r>
          </w:p>
        </w:tc>
        <w:tc>
          <w:tcPr>
            <w:tcW w:type="dxa" w:w="78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Agent API 默认折叠；启用后要求 input/output schema、timeout、evidence policy、data policy；发布失败保留 draft。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验收</w:t>
            </w:r>
          </w:p>
        </w:tc>
        <w:tc>
          <w:tcPr>
            <w:tcW w:type="dxa" w:w="78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发布产生不可变 CapabilityVersion 与 hash；订单固定版本；旧版本可设 sunset 但不可静默修改。</w:t>
            </w:r>
          </w:p>
        </w:tc>
      </w:tr>
    </w:tbl>
    <w:p>
      <w:pPr>
        <w:spacing w:before="80" w:after="80"/>
      </w:pPr>
    </w:p>
    <w:p>
      <w:pPr>
        <w:pStyle w:val="Heading3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1F4D78"/>
          <w:sz w:val="24"/>
        </w:rPr>
        <w:t>P04  Offer / Pricing / Meter Builder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6DF"/>
          <w:left w:val="single" w:sz="6" w:color="CDD6DF"/>
          <w:bottom w:val="single" w:sz="6" w:color="CDD6DF"/>
          <w:right w:val="single" w:sz="6" w:color="CDD6DF"/>
          <w:insideH w:val="single" w:sz="6" w:color="CDD6DF"/>
          <w:insideV w:val="single" w:sz="6" w:color="CDD6DF"/>
        </w:tblBorders>
      </w:tblPr>
      <w:tblGrid>
        <w:gridCol w:w="1550"/>
        <w:gridCol w:w="7810"/>
      </w:tblGrid>
      <w:tr>
        <w:trPr>
          <w:cantSplit/>
          <w:tblHeader w:val="true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属性</w:t>
            </w:r>
          </w:p>
        </w:tc>
        <w:tc>
          <w:tcPr>
            <w:tcW w:type="dxa" w:w="7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规格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路由 / 版本</w:t>
            </w:r>
          </w:p>
        </w:tc>
        <w:tc>
          <w:tcPr>
            <w:tcW w:type="dxa" w:w="78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/catalog/offers/:id · P0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用户目标</w:t>
            </w:r>
          </w:p>
        </w:tc>
        <w:tc>
          <w:tcPr>
            <w:tcW w:type="dxa" w:w="78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把价格、计量、credits、税展示与购买约束组合为可报价 Offer。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核心模块</w:t>
            </w:r>
          </w:p>
        </w:tc>
        <w:tc>
          <w:tcPr>
            <w:tcW w:type="dxa" w:w="78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Price model wizard；currency/region；meter mapping；allowance/overage；discount；min/max；quote preview；test events。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主操作</w:t>
            </w:r>
          </w:p>
        </w:tc>
        <w:tc>
          <w:tcPr>
            <w:tcW w:type="dxa" w:w="78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Create price；simulate invoice；send usage；compare rate-card diff；publish；rollback to new version。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空 / 错误状态</w:t>
            </w:r>
          </w:p>
        </w:tc>
        <w:tc>
          <w:tcPr>
            <w:tcW w:type="dxa" w:w="78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先显示 fixed/subscription/usage/credits；高级 tier/commit/milestone 折叠；未知 unit 或量纲冲突阻断。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验收</w:t>
            </w:r>
          </w:p>
        </w:tc>
        <w:tc>
          <w:tcPr>
            <w:tcW w:type="dxa" w:w="78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相同输入 + 相同 RateCardVersion 得到确定性金额；final 不得超 quote/mandate/reserve，除非 step-up。</w:t>
            </w:r>
          </w:p>
        </w:tc>
      </w:tr>
    </w:tbl>
    <w:p>
      <w:pPr>
        <w:spacing w:before="80" w:after="80"/>
      </w:pPr>
    </w:p>
    <w:p>
      <w:pPr>
        <w:pStyle w:val="Heading3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1F4D78"/>
          <w:sz w:val="24"/>
        </w:rPr>
        <w:t>P05  Commerce Inbox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6DF"/>
          <w:left w:val="single" w:sz="6" w:color="CDD6DF"/>
          <w:bottom w:val="single" w:sz="6" w:color="CDD6DF"/>
          <w:right w:val="single" w:sz="6" w:color="CDD6DF"/>
          <w:insideH w:val="single" w:sz="6" w:color="CDD6DF"/>
          <w:insideV w:val="single" w:sz="6" w:color="CDD6DF"/>
        </w:tblBorders>
      </w:tblPr>
      <w:tblGrid>
        <w:gridCol w:w="1550"/>
        <w:gridCol w:w="7810"/>
      </w:tblGrid>
      <w:tr>
        <w:trPr>
          <w:cantSplit/>
          <w:tblHeader w:val="true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属性</w:t>
            </w:r>
          </w:p>
        </w:tc>
        <w:tc>
          <w:tcPr>
            <w:tcW w:type="dxa" w:w="7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规格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路由 / 版本</w:t>
            </w:r>
          </w:p>
        </w:tc>
        <w:tc>
          <w:tcPr>
            <w:tcW w:type="dxa" w:w="78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/commerce · P0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用户目标</w:t>
            </w:r>
          </w:p>
        </w:tc>
        <w:tc>
          <w:tcPr>
            <w:tcW w:type="dxa" w:w="78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跨订单、任务、订阅与采购定位需要介入的交易。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核心模块</w:t>
            </w:r>
          </w:p>
        </w:tc>
        <w:tc>
          <w:tcPr>
            <w:tcW w:type="dxa" w:w="78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Perspective toggle；status/amount/risk/deadline filters；saved views；bulk safe actions；SLA aging。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主操作</w:t>
            </w:r>
          </w:p>
        </w:tc>
        <w:tc>
          <w:tcPr>
            <w:tcW w:type="dxa" w:w="78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Open timeline；request step-up；cancel/void；retry safe step；assign owner；export。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空 / 错误状态</w:t>
            </w:r>
          </w:p>
        </w:tc>
        <w:tc>
          <w:tcPr>
            <w:tcW w:type="dxa" w:w="78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任务按风险和资金暴露排序；重复事件合并但保留计数；无动作时展示近期已自动解决项。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验收</w:t>
            </w:r>
          </w:p>
        </w:tc>
        <w:tc>
          <w:tcPr>
            <w:tcW w:type="dxa" w:w="78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运营人员无需查日志即可判断资金状态、交付状态与下一动作；批量动作先预览影响。</w:t>
            </w:r>
          </w:p>
        </w:tc>
      </w:tr>
    </w:tbl>
    <w:p>
      <w:pPr>
        <w:spacing w:before="80" w:after="80"/>
      </w:pPr>
    </w:p>
    <w:p>
      <w:pPr>
        <w:pStyle w:val="Heading3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1F4D78"/>
          <w:sz w:val="24"/>
        </w:rPr>
        <w:t>P06  Order / Task Detail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6DF"/>
          <w:left w:val="single" w:sz="6" w:color="CDD6DF"/>
          <w:bottom w:val="single" w:sz="6" w:color="CDD6DF"/>
          <w:right w:val="single" w:sz="6" w:color="CDD6DF"/>
          <w:insideH w:val="single" w:sz="6" w:color="CDD6DF"/>
          <w:insideV w:val="single" w:sz="6" w:color="CDD6DF"/>
        </w:tblBorders>
      </w:tblPr>
      <w:tblGrid>
        <w:gridCol w:w="1550"/>
        <w:gridCol w:w="7810"/>
      </w:tblGrid>
      <w:tr>
        <w:trPr>
          <w:cantSplit/>
          <w:tblHeader w:val="true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属性</w:t>
            </w:r>
          </w:p>
        </w:tc>
        <w:tc>
          <w:tcPr>
            <w:tcW w:type="dxa" w:w="7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规格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路由 / 版本</w:t>
            </w:r>
          </w:p>
        </w:tc>
        <w:tc>
          <w:tcPr>
            <w:tcW w:type="dxa" w:w="78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/commerce/tasks/:id · P0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用户目标</w:t>
            </w:r>
          </w:p>
        </w:tc>
        <w:tc>
          <w:tcPr>
            <w:tcW w:type="dxa" w:w="78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理解一笔交易从报价到结算的完整因果链，并安全恢复异常。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核心模块</w:t>
            </w:r>
          </w:p>
        </w:tc>
        <w:tc>
          <w:tcPr>
            <w:tcW w:type="dxa" w:w="78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State header；quote/mandate/reservation；timeline；usage；evidence；delivery/acceptance；tax；payment；ledger；related traces。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主操作</w:t>
            </w:r>
          </w:p>
        </w:tc>
        <w:tc>
          <w:tcPr>
            <w:tcW w:type="dxa" w:w="78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Replay webhook；request evidence；accept/reject；step-up；cancel；partial/full refund；download evidence package。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空 / 错误状态</w:t>
            </w:r>
          </w:p>
        </w:tc>
        <w:tc>
          <w:tcPr>
            <w:tcW w:type="dxa" w:w="78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明确 partial delivery/capture/refund；failed step 显示 retryability；敏感 evidence 仅展示 digest/权限链接。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验收</w:t>
            </w:r>
          </w:p>
        </w:tc>
        <w:tc>
          <w:tcPr>
            <w:tcW w:type="dxa" w:w="78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任意金额和状态可在 3 次点击内追溯到 source event；恢复动作幂等且不重复扣款。</w:t>
            </w:r>
          </w:p>
        </w:tc>
      </w:tr>
    </w:tbl>
    <w:p>
      <w:pPr>
        <w:spacing w:before="80" w:after="80"/>
      </w:pPr>
    </w:p>
    <w:p>
      <w:pPr>
        <w:pStyle w:val="Heading3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1F4D78"/>
          <w:sz w:val="24"/>
        </w:rPr>
        <w:t>P07  Customers &amp; Principals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6DF"/>
          <w:left w:val="single" w:sz="6" w:color="CDD6DF"/>
          <w:bottom w:val="single" w:sz="6" w:color="CDD6DF"/>
          <w:right w:val="single" w:sz="6" w:color="CDD6DF"/>
          <w:insideH w:val="single" w:sz="6" w:color="CDD6DF"/>
          <w:insideV w:val="single" w:sz="6" w:color="CDD6DF"/>
        </w:tblBorders>
      </w:tblPr>
      <w:tblGrid>
        <w:gridCol w:w="1550"/>
        <w:gridCol w:w="7810"/>
      </w:tblGrid>
      <w:tr>
        <w:trPr>
          <w:cantSplit/>
          <w:tblHeader w:val="true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属性</w:t>
            </w:r>
          </w:p>
        </w:tc>
        <w:tc>
          <w:tcPr>
            <w:tcW w:type="dxa" w:w="7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规格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路由 / 版本</w:t>
            </w:r>
          </w:p>
        </w:tc>
        <w:tc>
          <w:tcPr>
            <w:tcW w:type="dxa" w:w="78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/parties/principals · P0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用户目标</w:t>
            </w:r>
          </w:p>
        </w:tc>
        <w:tc>
          <w:tcPr>
            <w:tcW w:type="dxa" w:w="78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统一管理个人/企业买家、账单资料、税务身份、预算与其授权的 Agents。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核心模块</w:t>
            </w:r>
          </w:p>
        </w:tc>
        <w:tc>
          <w:tcPr>
            <w:tcW w:type="dxa" w:w="78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Party profile；legal/tax；payment/credit；subscriptions；purchases；agents；mandates；risk；data requests。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主操作</w:t>
            </w:r>
          </w:p>
        </w:tc>
        <w:tc>
          <w:tcPr>
            <w:tcW w:type="dxa" w:w="78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Create/import；verify tax ID；set credit/budget；invite admin；suspend；export/delete request。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空 / 错误状态</w:t>
            </w:r>
          </w:p>
        </w:tc>
        <w:tc>
          <w:tcPr>
            <w:tcW w:type="dxa" w:w="78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未验证信息不显示为 verified；同一 email 不自动合并法律主体；suspended 不删除历史。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验收</w:t>
            </w:r>
          </w:p>
        </w:tc>
        <w:tc>
          <w:tcPr>
            <w:tcW w:type="dxa" w:w="78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Principal 与 Agent 永不混同；每个 Agent-originated spend 显示 principal 与 delegation chain。</w:t>
            </w:r>
          </w:p>
        </w:tc>
      </w:tr>
    </w:tbl>
    <w:p>
      <w:pPr>
        <w:spacing w:before="80" w:after="80"/>
      </w:pPr>
    </w:p>
    <w:p>
      <w:pPr>
        <w:pStyle w:val="Heading3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1F4D78"/>
          <w:sz w:val="24"/>
        </w:rPr>
        <w:t>P08  Agents / Vendors / Tenants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6DF"/>
          <w:left w:val="single" w:sz="6" w:color="CDD6DF"/>
          <w:bottom w:val="single" w:sz="6" w:color="CDD6DF"/>
          <w:right w:val="single" w:sz="6" w:color="CDD6DF"/>
          <w:insideH w:val="single" w:sz="6" w:color="CDD6DF"/>
          <w:insideV w:val="single" w:sz="6" w:color="CDD6DF"/>
        </w:tblBorders>
      </w:tblPr>
      <w:tblGrid>
        <w:gridCol w:w="1550"/>
        <w:gridCol w:w="7810"/>
      </w:tblGrid>
      <w:tr>
        <w:trPr>
          <w:cantSplit/>
          <w:tblHeader w:val="true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属性</w:t>
            </w:r>
          </w:p>
        </w:tc>
        <w:tc>
          <w:tcPr>
            <w:tcW w:type="dxa" w:w="7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规格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路由 / 版本</w:t>
            </w:r>
          </w:p>
        </w:tc>
        <w:tc>
          <w:tcPr>
            <w:tcW w:type="dxa" w:w="78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/parties/agents · P0 foundations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用户目标</w:t>
            </w:r>
          </w:p>
        </w:tc>
        <w:tc>
          <w:tcPr>
            <w:tcW w:type="dxa" w:w="78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登记机器行动者、供应商与平台租户，并控制身份、信誉和责任边界。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核心模块</w:t>
            </w:r>
          </w:p>
        </w:tc>
        <w:tc>
          <w:tcPr>
            <w:tcW w:type="dxa" w:w="78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Provider/instance；credentials；attestation；version；principal links；scopes；behavior/risk；vendor settlement；tenant isolation。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主操作</w:t>
            </w:r>
          </w:p>
        </w:tc>
        <w:tc>
          <w:tcPr>
            <w:tcW w:type="dxa" w:w="78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Register/rotate/revoke identity；bind principal；approve vendor；pause instance；create tenant。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空 / 错误状态</w:t>
            </w:r>
          </w:p>
        </w:tc>
        <w:tc>
          <w:tcPr>
            <w:tcW w:type="dxa" w:w="78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未知/过期 identity 拒绝自主购买但可转 human checkout；revocation 实时传播；平台数据按 tenant 隔离。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验收</w:t>
            </w:r>
          </w:p>
        </w:tc>
        <w:tc>
          <w:tcPr>
            <w:tcW w:type="dxa" w:w="78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Agent Provider 与运行实例可区分；每次调用记录 identity version；撤销后新交易立即失败。</w:t>
            </w:r>
          </w:p>
        </w:tc>
      </w:tr>
    </w:tbl>
    <w:p>
      <w:pPr>
        <w:spacing w:before="80" w:after="80"/>
      </w:pPr>
    </w:p>
    <w:p>
      <w:pPr>
        <w:pStyle w:val="Heading3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1F4D78"/>
          <w:sz w:val="24"/>
        </w:rPr>
        <w:t>P09  Mandates &amp; Policies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6DF"/>
          <w:left w:val="single" w:sz="6" w:color="CDD6DF"/>
          <w:bottom w:val="single" w:sz="6" w:color="CDD6DF"/>
          <w:right w:val="single" w:sz="6" w:color="CDD6DF"/>
          <w:insideH w:val="single" w:sz="6" w:color="CDD6DF"/>
          <w:insideV w:val="single" w:sz="6" w:color="CDD6DF"/>
        </w:tblBorders>
      </w:tblPr>
      <w:tblGrid>
        <w:gridCol w:w="1550"/>
        <w:gridCol w:w="7810"/>
      </w:tblGrid>
      <w:tr>
        <w:trPr>
          <w:cantSplit/>
          <w:tblHeader w:val="true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属性</w:t>
            </w:r>
          </w:p>
        </w:tc>
        <w:tc>
          <w:tcPr>
            <w:tcW w:type="dxa" w:w="7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规格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路由 / 版本</w:t>
            </w:r>
          </w:p>
        </w:tc>
        <w:tc>
          <w:tcPr>
            <w:tcW w:type="dxa" w:w="78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/parties/mandates · P0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用户目标</w:t>
            </w:r>
          </w:p>
        </w:tc>
        <w:tc>
          <w:tcPr>
            <w:tcW w:type="dxa" w:w="78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用可理解、可验证、可撤销的规则限定 Agent 能做什么和能花多少。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核心模块</w:t>
            </w:r>
          </w:p>
        </w:tc>
        <w:tc>
          <w:tcPr>
            <w:tcW w:type="dxa" w:w="78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Policy builder + JSON；principal/agent；vendors/capabilities；per-task/day/month budgets；purpose；time；depth；data；evidence；approval。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主操作</w:t>
            </w:r>
          </w:p>
        </w:tc>
        <w:tc>
          <w:tcPr>
            <w:tcW w:type="dxa" w:w="78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Create from template；simulate；issue；request/sign；revoke；clone；view decisions。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空 / 错误状态</w:t>
            </w:r>
          </w:p>
        </w:tc>
        <w:tc>
          <w:tcPr>
            <w:tcW w:type="dxa" w:w="78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冲突规则显示有效结果；deny 优先；接近额度提示；过期/撤销不可续用；step-up 生成最小增量请求。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验收</w:t>
            </w:r>
          </w:p>
        </w:tc>
        <w:tc>
          <w:tcPr>
            <w:tcW w:type="dxa" w:w="78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任何授权决定可重放并解释命中规则；Mandate 与 payment credential 生命周期独立。</w:t>
            </w:r>
          </w:p>
        </w:tc>
      </w:tr>
    </w:tbl>
    <w:p>
      <w:pPr>
        <w:spacing w:before="80" w:after="80"/>
      </w:pPr>
    </w:p>
    <w:p>
      <w:pPr>
        <w:pStyle w:val="Heading3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1F4D78"/>
          <w:sz w:val="24"/>
        </w:rPr>
        <w:t>P10  Finance Center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6DF"/>
          <w:left w:val="single" w:sz="6" w:color="CDD6DF"/>
          <w:bottom w:val="single" w:sz="6" w:color="CDD6DF"/>
          <w:right w:val="single" w:sz="6" w:color="CDD6DF"/>
          <w:insideH w:val="single" w:sz="6" w:color="CDD6DF"/>
          <w:insideV w:val="single" w:sz="6" w:color="CDD6DF"/>
        </w:tblBorders>
      </w:tblPr>
      <w:tblGrid>
        <w:gridCol w:w="1550"/>
        <w:gridCol w:w="7810"/>
      </w:tblGrid>
      <w:tr>
        <w:trPr>
          <w:cantSplit/>
          <w:tblHeader w:val="true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属性</w:t>
            </w:r>
          </w:p>
        </w:tc>
        <w:tc>
          <w:tcPr>
            <w:tcW w:type="dxa" w:w="7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规格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路由 / 版本</w:t>
            </w:r>
          </w:p>
        </w:tc>
        <w:tc>
          <w:tcPr>
            <w:tcW w:type="dxa" w:w="78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/finance · P0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用户目标</w:t>
            </w:r>
          </w:p>
        </w:tc>
        <w:tc>
          <w:tcPr>
            <w:tcW w:type="dxa" w:w="78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从交易、余额、发票/税、退款/争议到 payout 完成统一财务运营。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核心模块</w:t>
            </w:r>
          </w:p>
        </w:tc>
        <w:tc>
          <w:tcPr>
            <w:tcW w:type="dxa" w:w="78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Balances by currency/entity；transactions；invoice/tax；refund/dispute；settlements；payouts；reconciliation exceptions。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主操作</w:t>
            </w:r>
          </w:p>
        </w:tc>
        <w:tc>
          <w:tcPr>
            <w:tcW w:type="dxa" w:w="78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Drill to postings；export；schedule payout；issue credit note；refund；resolve reconciliation item。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空 / 错误状态</w:t>
            </w:r>
          </w:p>
        </w:tc>
        <w:tc>
          <w:tcPr>
            <w:tcW w:type="dxa" w:w="78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pending/available/reserved/held 分开；provider delay 显示外部 owner；任何余额差异生成 case，禁止手工覆盖。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验收</w:t>
            </w:r>
          </w:p>
        </w:tc>
        <w:tc>
          <w:tcPr>
            <w:tcW w:type="dxa" w:w="78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页面合计与 money ledger 一致；T+1 可对账 PSP/tax/bank/payout；金额精度按货币规则。</w:t>
            </w:r>
          </w:p>
        </w:tc>
      </w:tr>
    </w:tbl>
    <w:p>
      <w:pPr>
        <w:spacing w:before="80" w:after="80"/>
      </w:pPr>
    </w:p>
    <w:p>
      <w:pPr>
        <w:pStyle w:val="Heading3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1F4D78"/>
          <w:sz w:val="24"/>
        </w:rPr>
        <w:t>P11  Risk &amp; Disputes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6DF"/>
          <w:left w:val="single" w:sz="6" w:color="CDD6DF"/>
          <w:bottom w:val="single" w:sz="6" w:color="CDD6DF"/>
          <w:right w:val="single" w:sz="6" w:color="CDD6DF"/>
          <w:insideH w:val="single" w:sz="6" w:color="CDD6DF"/>
          <w:insideV w:val="single" w:sz="6" w:color="CDD6DF"/>
        </w:tblBorders>
      </w:tblPr>
      <w:tblGrid>
        <w:gridCol w:w="1550"/>
        <w:gridCol w:w="7810"/>
      </w:tblGrid>
      <w:tr>
        <w:trPr>
          <w:cantSplit/>
          <w:tblHeader w:val="true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属性</w:t>
            </w:r>
          </w:p>
        </w:tc>
        <w:tc>
          <w:tcPr>
            <w:tcW w:type="dxa" w:w="7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规格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路由 / 版本</w:t>
            </w:r>
          </w:p>
        </w:tc>
        <w:tc>
          <w:tcPr>
            <w:tcW w:type="dxa" w:w="78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/operations/risk · P0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用户目标</w:t>
            </w:r>
          </w:p>
        </w:tc>
        <w:tc>
          <w:tcPr>
            <w:tcW w:type="dxa" w:w="78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在不破坏正常自动化的前提下，阻断越权、欺诈、循环调用和证据不足。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核心模块</w:t>
            </w:r>
          </w:p>
        </w:tc>
        <w:tc>
          <w:tcPr>
            <w:tcW w:type="dxa" w:w="78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Decision queue；rules/models；budget/depth/velocity breakers；sanctions/product risk；cases；evidence packages；loss analytics。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主操作</w:t>
            </w:r>
          </w:p>
        </w:tc>
        <w:tc>
          <w:tcPr>
            <w:tcW w:type="dxa" w:w="78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Approve/deny/step-up；hold/release；suspend identity；submit evidence；refund；tune rule with simulation。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空 / 错误状态</w:t>
            </w:r>
          </w:p>
        </w:tc>
        <w:tc>
          <w:tcPr>
            <w:tcW w:type="dxa" w:w="78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AI score 必须带 reason codes；高额 release/大额 refund 双人审批；争议倒计时常驻。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验收</w:t>
            </w:r>
          </w:p>
        </w:tc>
        <w:tc>
          <w:tcPr>
            <w:tcW w:type="dxa" w:w="78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每个决定保存输入快照、版本、reason 与 actor；prompt/LLM 输出不能单独成为扣款授权。</w:t>
            </w:r>
          </w:p>
        </w:tc>
      </w:tr>
    </w:tbl>
    <w:p>
      <w:pPr>
        <w:spacing w:before="80" w:after="80"/>
      </w:pPr>
    </w:p>
    <w:p>
      <w:pPr>
        <w:pStyle w:val="Heading3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1F4D78"/>
          <w:sz w:val="24"/>
        </w:rPr>
        <w:t>P12  Analytics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6DF"/>
          <w:left w:val="single" w:sz="6" w:color="CDD6DF"/>
          <w:bottom w:val="single" w:sz="6" w:color="CDD6DF"/>
          <w:right w:val="single" w:sz="6" w:color="CDD6DF"/>
          <w:insideH w:val="single" w:sz="6" w:color="CDD6DF"/>
          <w:insideV w:val="single" w:sz="6" w:color="CDD6DF"/>
        </w:tblBorders>
      </w:tblPr>
      <w:tblGrid>
        <w:gridCol w:w="1550"/>
        <w:gridCol w:w="7810"/>
      </w:tblGrid>
      <w:tr>
        <w:trPr>
          <w:cantSplit/>
          <w:tblHeader w:val="true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属性</w:t>
            </w:r>
          </w:p>
        </w:tc>
        <w:tc>
          <w:tcPr>
            <w:tcW w:type="dxa" w:w="7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规格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路由 / 版本</w:t>
            </w:r>
          </w:p>
        </w:tc>
        <w:tc>
          <w:tcPr>
            <w:tcW w:type="dxa" w:w="78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/operations/analytics · P0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用户目标</w:t>
            </w:r>
          </w:p>
        </w:tc>
        <w:tc>
          <w:tcPr>
            <w:tcW w:type="dxa" w:w="78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同时理解商业增长、Agent 自动化、定价、财务和风险质量。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核心模块</w:t>
            </w:r>
          </w:p>
        </w:tc>
        <w:tc>
          <w:tcPr>
            <w:tcW w:type="dxa" w:w="78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Revenue/GP；usage/credits；funnel；autonomy/step-up；latency；reconciliation；refund/dispute；cohorts；protocol/rail mix。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主操作</w:t>
            </w:r>
          </w:p>
        </w:tc>
        <w:tc>
          <w:tcPr>
            <w:tcW w:type="dxa" w:w="78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Filter by item/offer/agent/principal/country/protocol；save view；export；create alert。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空 / 错误状态</w:t>
            </w:r>
          </w:p>
        </w:tc>
        <w:tc>
          <w:tcPr>
            <w:tcW w:type="dxa" w:w="78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数据延迟与口径显示；小样本不做强结论；财务数字来自 closed ledger period。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验收</w:t>
            </w:r>
          </w:p>
        </w:tc>
        <w:tc>
          <w:tcPr>
            <w:tcW w:type="dxa" w:w="78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指标有定义、owner、事件来源和版本；Agent-originated 与 human-originated 可对比。</w:t>
            </w:r>
          </w:p>
        </w:tc>
      </w:tr>
    </w:tbl>
    <w:p>
      <w:pPr>
        <w:spacing w:before="80" w:after="80"/>
      </w:pPr>
    </w:p>
    <w:p>
      <w:pPr>
        <w:pStyle w:val="Heading3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1F4D78"/>
          <w:sz w:val="24"/>
        </w:rPr>
        <w:t>P13  Developer Hub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6DF"/>
          <w:left w:val="single" w:sz="6" w:color="CDD6DF"/>
          <w:bottom w:val="single" w:sz="6" w:color="CDD6DF"/>
          <w:right w:val="single" w:sz="6" w:color="CDD6DF"/>
          <w:insideH w:val="single" w:sz="6" w:color="CDD6DF"/>
          <w:insideV w:val="single" w:sz="6" w:color="CDD6DF"/>
        </w:tblBorders>
      </w:tblPr>
      <w:tblGrid>
        <w:gridCol w:w="1550"/>
        <w:gridCol w:w="7810"/>
      </w:tblGrid>
      <w:tr>
        <w:trPr>
          <w:cantSplit/>
          <w:tblHeader w:val="true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属性</w:t>
            </w:r>
          </w:p>
        </w:tc>
        <w:tc>
          <w:tcPr>
            <w:tcW w:type="dxa" w:w="7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规格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路由 / 版本</w:t>
            </w:r>
          </w:p>
        </w:tc>
        <w:tc>
          <w:tcPr>
            <w:tcW w:type="dxa" w:w="78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/developers · P0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用户目标</w:t>
            </w:r>
          </w:p>
        </w:tc>
        <w:tc>
          <w:tcPr>
            <w:tcW w:type="dxa" w:w="78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从可运行 quickstart 到生产验证、协议暴露和持续运维。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核心模块</w:t>
            </w:r>
          </w:p>
        </w:tc>
        <w:tc>
          <w:tcPr>
            <w:tcW w:type="dxa" w:w="78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Goal/language quickstarts；API explorer；SDK/CLI；MCP manifest；integration validator；keys/identities；webhooks；changelog。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主操作</w:t>
            </w:r>
          </w:p>
        </w:tc>
        <w:tc>
          <w:tcPr>
            <w:tcW w:type="dxa" w:w="78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Copy/run；create test resource；rotate key；generate types；validate manifest；replay event；promote config。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空 / 错误状态</w:t>
            </w:r>
          </w:p>
        </w:tc>
        <w:tc>
          <w:tcPr>
            <w:tcW w:type="dxa" w:w="78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示例绑定当前 sandbox；权限不足显示所需 scope；breaking API/protocol change 有 migration guide。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验收</w:t>
            </w:r>
          </w:p>
        </w:tc>
        <w:tc>
          <w:tcPr>
            <w:tcW w:type="dxa" w:w="78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无手工复制 object ID 也能跑通；所有 sample 进入 CI；生产 key 只显示一次且可轮换。</w:t>
            </w:r>
          </w:p>
        </w:tc>
      </w:tr>
    </w:tbl>
    <w:p>
      <w:pPr>
        <w:spacing w:before="80" w:after="80"/>
      </w:pPr>
    </w:p>
    <w:p>
      <w:pPr>
        <w:pStyle w:val="Heading3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1F4D78"/>
          <w:sz w:val="24"/>
        </w:rPr>
        <w:t>P14  Traces &amp; Events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6DF"/>
          <w:left w:val="single" w:sz="6" w:color="CDD6DF"/>
          <w:bottom w:val="single" w:sz="6" w:color="CDD6DF"/>
          <w:right w:val="single" w:sz="6" w:color="CDD6DF"/>
          <w:insideH w:val="single" w:sz="6" w:color="CDD6DF"/>
          <w:insideV w:val="single" w:sz="6" w:color="CDD6DF"/>
        </w:tblBorders>
      </w:tblPr>
      <w:tblGrid>
        <w:gridCol w:w="1550"/>
        <w:gridCol w:w="7810"/>
      </w:tblGrid>
      <w:tr>
        <w:trPr>
          <w:cantSplit/>
          <w:tblHeader w:val="true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属性</w:t>
            </w:r>
          </w:p>
        </w:tc>
        <w:tc>
          <w:tcPr>
            <w:tcW w:type="dxa" w:w="7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规格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路由 / 版本</w:t>
            </w:r>
          </w:p>
        </w:tc>
        <w:tc>
          <w:tcPr>
            <w:tcW w:type="dxa" w:w="78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/operations/traces · P0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用户目标</w:t>
            </w:r>
          </w:p>
        </w:tc>
        <w:tc>
          <w:tcPr>
            <w:tcW w:type="dxa" w:w="78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以 trace_id 调试跨协议、API、provider、webhook、meter、tax 与 ledger 的因果链。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核心模块</w:t>
            </w:r>
          </w:p>
        </w:tc>
        <w:tc>
          <w:tcPr>
            <w:tcW w:type="dxa" w:w="78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Waterfall；normalized/raw payload；signature status；retries；idempotency；state diff；related resource；redaction。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主操作</w:t>
            </w:r>
          </w:p>
        </w:tc>
        <w:tc>
          <w:tcPr>
            <w:tcW w:type="dxa" w:w="78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Search；copy trace；replay safe event；download sanitized bundle；open provider ref；create incident。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空 / 错误状态</w:t>
            </w:r>
          </w:p>
        </w:tc>
        <w:tc>
          <w:tcPr>
            <w:tcW w:type="dxa" w:w="78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重复/乱序事件显式；raw secrets/PAN 永不展示；过期 payload 仍保留 digest 与 metadata。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验收</w:t>
            </w:r>
          </w:p>
        </w:tc>
        <w:tc>
          <w:tcPr>
            <w:tcW w:type="dxa" w:w="78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支持生产故障在 15 分钟内定位；replay 不改变已 final 的不可变事实，只产生 adjustment。</w:t>
            </w:r>
          </w:p>
        </w:tc>
      </w:tr>
    </w:tbl>
    <w:p>
      <w:pPr>
        <w:spacing w:before="80" w:after="80"/>
      </w:pPr>
    </w:p>
    <w:p>
      <w:pPr>
        <w:pStyle w:val="Heading3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1F4D78"/>
          <w:sz w:val="24"/>
        </w:rPr>
        <w:t>P15  Settings / Compliance / Team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6DF"/>
          <w:left w:val="single" w:sz="6" w:color="CDD6DF"/>
          <w:bottom w:val="single" w:sz="6" w:color="CDD6DF"/>
          <w:right w:val="single" w:sz="6" w:color="CDD6DF"/>
          <w:insideH w:val="single" w:sz="6" w:color="CDD6DF"/>
          <w:insideV w:val="single" w:sz="6" w:color="CDD6DF"/>
        </w:tblBorders>
      </w:tblPr>
      <w:tblGrid>
        <w:gridCol w:w="1550"/>
        <w:gridCol w:w="7810"/>
      </w:tblGrid>
      <w:tr>
        <w:trPr>
          <w:cantSplit/>
          <w:tblHeader w:val="true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属性</w:t>
            </w:r>
          </w:p>
        </w:tc>
        <w:tc>
          <w:tcPr>
            <w:tcW w:type="dxa" w:w="7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规格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路由 / 版本</w:t>
            </w:r>
          </w:p>
        </w:tc>
        <w:tc>
          <w:tcPr>
            <w:tcW w:type="dxa" w:w="78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/settings · P0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用户目标</w:t>
            </w:r>
          </w:p>
        </w:tc>
        <w:tc>
          <w:tcPr>
            <w:tcW w:type="dxa" w:w="78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配置业务、品牌、支付轨道、团队权限、合规与功能模块，且所有变更可审计。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核心模块</w:t>
            </w:r>
          </w:p>
        </w:tc>
        <w:tc>
          <w:tcPr>
            <w:tcW w:type="dxa" w:w="78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Business/entity；brand/checkout；rail routing；tax/compliance；team/RBAC；approval；data/retention；feature modules；config versions。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主操作</w:t>
            </w:r>
          </w:p>
        </w:tc>
        <w:tc>
          <w:tcPr>
            <w:tcW w:type="dxa" w:w="78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Edit draft；view diff；request approval；publish；rotate secret；export manifest；rollback as new version。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空 / 错误状态</w:t>
            </w:r>
          </w:p>
        </w:tc>
        <w:tc>
          <w:tcPr>
            <w:tcW w:type="dxa" w:w="78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银行账户、MoR entity、税务和高风险阈值变更需 step-up/双批；不允许直接覆盖 live。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验收</w:t>
            </w:r>
          </w:p>
        </w:tc>
        <w:tc>
          <w:tcPr>
            <w:tcW w:type="dxa" w:w="78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每次 live 变更有 actor、ticket、diff、approval 与 effective_at；API/CLI/Dashboard 行为一致。</w:t>
            </w:r>
          </w:p>
        </w:tc>
      </w:tr>
    </w:tbl>
    <w:p>
      <w:pPr>
        <w:spacing w:before="80" w:after="80"/>
      </w:pPr>
    </w:p>
    <w:p>
      <w:pPr>
        <w:pStyle w:val="Heading2"/>
        <w:keepNext/>
        <w:keepLines/>
        <w:pageBreakBefore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跨页面交互规范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6DF"/>
          <w:left w:val="single" w:sz="6" w:color="CDD6DF"/>
          <w:bottom w:val="single" w:sz="6" w:color="CDD6DF"/>
          <w:right w:val="single" w:sz="6" w:color="CDD6DF"/>
          <w:insideH w:val="single" w:sz="6" w:color="CDD6DF"/>
          <w:insideV w:val="single" w:sz="6" w:color="CDD6DF"/>
        </w:tblBorders>
      </w:tblPr>
      <w:tblGrid>
        <w:gridCol w:w="1350"/>
        <w:gridCol w:w="3370"/>
        <w:gridCol w:w="2580"/>
        <w:gridCol w:w="2060"/>
      </w:tblGrid>
      <w:tr>
        <w:trPr>
          <w:cantSplit/>
          <w:tblHeader w:val="true"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模式</w:t>
            </w:r>
          </w:p>
        </w:tc>
        <w:tc>
          <w:tcPr>
            <w:tcW w:type="dxa" w:w="33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MUST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SHOULD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禁止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状态</w:t>
            </w:r>
          </w:p>
        </w:tc>
        <w:tc>
          <w:tcPr>
            <w:tcW w:type="dxa" w:w="337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统一 badge + machine code；显示状态时间与 owner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提供状态机帮助和下一合法动作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只用颜色表达；同词异义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金额</w:t>
            </w:r>
          </w:p>
        </w:tc>
        <w:tc>
          <w:tcPr>
            <w:tcW w:type="dxa" w:w="337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currency + decimal；pending/available/held 分开；可下钻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同时显示 gross/tax/fee/net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浮点；把授权额当成交额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破坏性操作</w:t>
            </w:r>
          </w:p>
        </w:tc>
        <w:tc>
          <w:tcPr>
            <w:tcW w:type="dxa" w:w="337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impact preview、typed confirmation、idempotency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高额双人审批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silent retry；不可解释 bulk action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AI 建议</w:t>
            </w:r>
          </w:p>
        </w:tc>
        <w:tc>
          <w:tcPr>
            <w:tcW w:type="dxa" w:w="337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标为 draft；显示依据与不确定性；policy validation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生成 diff 与测试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自动改 live tax/risk/payout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表单</w:t>
            </w:r>
          </w:p>
        </w:tc>
        <w:tc>
          <w:tcPr>
            <w:tcW w:type="dxa" w:w="337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schema validation；保存 draft；版本/ETag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API/manifest round-trip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Dashboard 私有字段；离开即丢失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错误</w:t>
            </w:r>
          </w:p>
        </w:tc>
        <w:tc>
          <w:tcPr>
            <w:tcW w:type="dxa" w:w="337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稳定 error code、retryable、action_required、trace_id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提供复制修复示例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仅 toast；把 provider 原文直接暴露</w:t>
            </w:r>
          </w:p>
        </w:tc>
      </w:tr>
    </w:tbl>
    <w:p>
      <w:pPr>
        <w:spacing w:before="80" w:after="80"/>
      </w:pPr>
    </w:p>
    <w:p>
      <w:pPr>
        <w:keepNext/>
        <w:keepLines w:val="0"/>
        <w:pageBreakBefore/>
        <w:spacing w:before="40" w:after="80"/>
        <w:widowControl/>
      </w:pPr>
      <w:r>
        <w:rPr>
          <w:rFonts w:ascii="Noto Sans SC" w:hAnsi="Noto Sans SC" w:eastAsia="Noto Sans SC" w:cs="Noto Sans SC"/>
          <w:b/>
          <w:i w:val="0"/>
          <w:color w:val="087E8B"/>
          <w:sz w:val="17"/>
        </w:rPr>
        <w:t>10 · CORE JOURNEYS</w:t>
      </w:r>
    </w:p>
    <w:p>
      <w:pPr>
        <w:pStyle w:val="Heading1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32"/>
        </w:rPr>
        <w:t>核心交易流程与异常恢复</w:t>
      </w: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F1 · 当前人类/应用购买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6DF"/>
          <w:left w:val="single" w:sz="6" w:color="CDD6DF"/>
          <w:bottom w:val="single" w:sz="6" w:color="CDD6DF"/>
          <w:right w:val="single" w:sz="6" w:color="CDD6DF"/>
          <w:insideH w:val="single" w:sz="6" w:color="CDD6DF"/>
          <w:insideV w:val="single" w:sz="6" w:color="CDD6DF"/>
        </w:tblBorders>
      </w:tblPr>
      <w:tblGrid>
        <w:gridCol w:w="900"/>
        <w:gridCol w:w="3260"/>
        <w:gridCol w:w="2650"/>
        <w:gridCol w:w="2550"/>
      </w:tblGrid>
      <w:tr>
        <w:trPr>
          <w:cantSplit/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步骤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系统动作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用户体验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失败处理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1. 配置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发布 Item + Offer + RateCardVersion + tax class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Dashboard wizard / manifest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validation 阻断；保留 draft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2. 创建 checkout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生成 CheckoutSession / Quote；锁定价格和有效期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Hosted、embedded、link 或 API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过期重报；不复用旧价格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3. 同意与支付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收集 buyer、location、tax、payment；authorize/capture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人类确认条款/3DS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requires_action、换 rail、取消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4. 权益/交付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Order paid → entitlement/license/webhook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即时访问或任务状态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webhook 重试；权益操作幂等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5. 财税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TaxDecision、Invoice、Commercial/Money ledgers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receipt/invoice 可取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provider 异常进入 reconciliation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6. 结算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available balance → settlement → payout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显示 gross/tax/fees/hold/net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hold/offset/failure 可解释</w:t>
            </w:r>
          </w:p>
        </w:tc>
      </w:tr>
    </w:tbl>
    <w:p>
      <w:pPr>
        <w:spacing w:before="80" w:after="80"/>
      </w:pP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F2 · Agent 购买并执行服务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6DF"/>
          <w:left w:val="single" w:sz="6" w:color="CDD6DF"/>
          <w:bottom w:val="single" w:sz="6" w:color="CDD6DF"/>
          <w:right w:val="single" w:sz="6" w:color="CDD6DF"/>
          <w:insideH w:val="single" w:sz="6" w:color="CDD6DF"/>
          <w:insideV w:val="single" w:sz="6" w:color="CDD6DF"/>
        </w:tblBorders>
      </w:tblPr>
      <w:tblGrid>
        <w:gridCol w:w="850"/>
        <w:gridCol w:w="2100"/>
        <w:gridCol w:w="3920"/>
        <w:gridCol w:w="2490"/>
      </w:tblGrid>
      <w:tr>
        <w:trPr>
          <w:cantSplit/>
          <w:tblHeader w:val="true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步骤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请求 / 对象</w:t>
            </w:r>
          </w:p>
        </w:tc>
        <w:tc>
          <w:tcPr>
            <w:tcW w:type="dxa" w:w="3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MUST 校验</w:t>
            </w:r>
          </w:p>
        </w:tc>
        <w:tc>
          <w:tcPr>
            <w:tcW w:type="dxa" w:w="24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结果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1. Discover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CapabilityVersion / Offer</w:t>
            </w:r>
          </w:p>
        </w:tc>
        <w:tc>
          <w:tcPr>
            <w:tcW w:type="dxa" w:w="39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identity 可见范围、region、schema、availability</w:t>
            </w:r>
          </w:p>
        </w:tc>
        <w:tc>
          <w:tcPr>
            <w:tcW w:type="dxa" w:w="249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agent-readable capability card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2. Quote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Quote pins versions</w:t>
            </w:r>
          </w:p>
        </w:tc>
        <w:tc>
          <w:tcPr>
            <w:tcW w:type="dxa" w:w="392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principal/agent、quantity estimate、tax context、max amount、expiry</w:t>
            </w:r>
          </w:p>
        </w:tc>
        <w:tc>
          <w:tcPr>
            <w:tcW w:type="dxa" w:w="249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确定性 all-in 估价与 terms hash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3. Authorize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Mandate + payment authorization</w:t>
            </w:r>
          </w:p>
        </w:tc>
        <w:tc>
          <w:tcPr>
            <w:tcW w:type="dxa" w:w="39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scope、vendor/capability、purpose、budget、time、depth、revocation</w:t>
            </w:r>
          </w:p>
        </w:tc>
        <w:tc>
          <w:tcPr>
            <w:tcW w:type="dxa" w:w="249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AUTHORIZED 或最小 step-up request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4. Reserve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Reservation</w:t>
            </w:r>
          </w:p>
        </w:tc>
        <w:tc>
          <w:tcPr>
            <w:tcW w:type="dxa" w:w="392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可用预算/credits/rail、tax buffer、idempotency</w:t>
            </w:r>
          </w:p>
        </w:tc>
        <w:tc>
          <w:tcPr>
            <w:tcW w:type="dxa" w:w="249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资金/额度预留；未执行可释放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5. Execute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CommerceTask</w:t>
            </w:r>
          </w:p>
        </w:tc>
        <w:tc>
          <w:tcPr>
            <w:tcW w:type="dxa" w:w="39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versioned schemas、timeout、data policy、subagent rules</w:t>
            </w:r>
          </w:p>
        </w:tc>
        <w:tc>
          <w:tcPr>
            <w:tcW w:type="dxa" w:w="249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RUNNING；trace_id 贯穿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6. Meter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UsageEvent batch</w:t>
            </w:r>
          </w:p>
        </w:tc>
        <w:tc>
          <w:tcPr>
            <w:tcW w:type="dxa" w:w="392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source、dedupe、unit/dimensions、late window、mandate ceiling</w:t>
            </w:r>
          </w:p>
        </w:tc>
        <w:tc>
          <w:tcPr>
            <w:tcW w:type="dxa" w:w="249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可重放 usage ledger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7. Evidence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Evidence + Delivery + Acceptance</w:t>
            </w:r>
          </w:p>
        </w:tc>
        <w:tc>
          <w:tcPr>
            <w:tcW w:type="dxa" w:w="39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digest/signature、SLA、acceptance rule、privacy</w:t>
            </w:r>
          </w:p>
        </w:tc>
        <w:tc>
          <w:tcPr>
            <w:tcW w:type="dxa" w:w="249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DELIVERED/ACCEPTED/REJECTED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8. Finalize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Sale/TaxDecision/Payment/Ledger</w:t>
            </w:r>
          </w:p>
        </w:tc>
        <w:tc>
          <w:tcPr>
            <w:tcW w:type="dxa" w:w="392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final ≤ quote/mandate/reserve；税/rounding；commercial hash</w:t>
            </w:r>
          </w:p>
        </w:tc>
        <w:tc>
          <w:tcPr>
            <w:tcW w:type="dxa" w:w="249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capture/release、invoice/receipt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9. Settle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Settlement/Payout</w:t>
            </w:r>
          </w:p>
        </w:tc>
        <w:tc>
          <w:tcPr>
            <w:tcW w:type="dxa" w:w="39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refund/dispute reserve、MoR fee、provider reconciliation</w:t>
            </w:r>
          </w:p>
        </w:tc>
        <w:tc>
          <w:tcPr>
            <w:tcW w:type="dxa" w:w="249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seller available/payout；principal cost attribution</w:t>
            </w:r>
          </w:p>
        </w:tc>
      </w:tr>
    </w:tbl>
    <w:p>
      <w:pPr>
        <w:spacing w:before="80" w:after="80"/>
      </w:pP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F3 · Step-up 授权</w:t>
      </w:r>
    </w:p>
    <w:p>
      <w:pPr>
        <w:keepNext w:val="0"/>
        <w:keepLines/>
        <w:numPr>
          <w:ilvl w:val="0"/>
          <w:numId w:val="13"/>
        </w:numPr>
        <w:spacing w:after="80" w:line="30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>检测差额。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Quote 或 execution estimate 超过 mandate 单笔/周期/供应商/用途/深度约束。</w:t>
      </w:r>
    </w:p>
    <w:p>
      <w:pPr>
        <w:keepNext w:val="0"/>
        <w:keepLines/>
        <w:numPr>
          <w:ilvl w:val="0"/>
          <w:numId w:val="13"/>
        </w:numPr>
        <w:spacing w:after="80" w:line="30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>冻结不可逆步骤。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保留 quote 与安全上下文；不得先执行后补授权；reservation 可保持短时有效。</w:t>
      </w:r>
    </w:p>
    <w:p>
      <w:pPr>
        <w:keepNext w:val="0"/>
        <w:keepLines/>
        <w:numPr>
          <w:ilvl w:val="0"/>
          <w:numId w:val="13"/>
        </w:numPr>
        <w:spacing w:after="80" w:line="30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>生成最小请求。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只请求增加所需金额/能力/时限，不要求重新授权无限范围；解释价格与税差。</w:t>
      </w:r>
    </w:p>
    <w:p>
      <w:pPr>
        <w:keepNext w:val="0"/>
        <w:keepLines/>
        <w:numPr>
          <w:ilvl w:val="0"/>
          <w:numId w:val="13"/>
        </w:numPr>
        <w:spacing w:after="80" w:line="30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>Principal 审批。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通过已验证渠道确认；签发补充 mandate 或一次性 approval；记录 human actor。</w:t>
      </w:r>
    </w:p>
    <w:p>
      <w:pPr>
        <w:keepNext w:val="0"/>
        <w:keepLines/>
        <w:numPr>
          <w:ilvl w:val="0"/>
          <w:numId w:val="13"/>
        </w:numPr>
        <w:spacing w:after="80" w:line="30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>重新验证并继续。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验证新旧版本、revocation、expiry；同一 idempotency key 继续，不创建重复任务。</w:t>
      </w: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F4 · 部分交付、失败、退款与争议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6DF"/>
          <w:left w:val="single" w:sz="6" w:color="CDD6DF"/>
          <w:bottom w:val="single" w:sz="6" w:color="CDD6DF"/>
          <w:right w:val="single" w:sz="6" w:color="CDD6DF"/>
          <w:insideH w:val="single" w:sz="6" w:color="CDD6DF"/>
          <w:insideV w:val="single" w:sz="6" w:color="CDD6DF"/>
        </w:tblBorders>
      </w:tblPr>
      <w:tblGrid>
        <w:gridCol w:w="1400"/>
        <w:gridCol w:w="3100"/>
        <w:gridCol w:w="2650"/>
        <w:gridCol w:w="2210"/>
      </w:tblGrid>
      <w:tr>
        <w:trPr>
          <w:cantSplit/>
          <w:tblHeader w:val="true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场景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计费原则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状态 / 资金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用户动作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执行前失败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不得 capture 执行费；可收明确披露的 non-refundable setup fee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FAILED；void/release reservation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安全重试、换 vendor、取消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部分交付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按已接受 milestone/usage 计费，不超过授权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PARTIALLY_DELIVERED / PARTIALLY_CAPTURED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接受部分、补交、拒绝、退款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超预算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停止或降级；禁止静默超扣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REQUIRES_ACTION；保留已合法用量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step-up、降低数量、结束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晚到 usage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在 late window 内 adjustment；closed invoice 用 credit/debit note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usage.adjusted；不改原事件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查看差异、申诉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退款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按 charge line / tax / fee policy 计算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REFUND_PENDING → SUCCEEDED/FAILED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全额/部分；显示净影响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争议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冻结相关结算；提交最小必要 evidence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OPENED → REVIEW → outcome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补证、接受损失、appeal（若支持）</w:t>
            </w:r>
          </w:p>
        </w:tc>
      </w:tr>
    </w:tbl>
    <w:p>
      <w:pPr>
        <w:spacing w:before="80" w:after="80"/>
      </w:pPr>
    </w:p>
    <w:p>
      <w:pPr>
        <w:keepNext/>
        <w:keepLines w:val="0"/>
        <w:pageBreakBefore/>
        <w:spacing w:before="40" w:after="80"/>
        <w:widowControl/>
      </w:pPr>
      <w:r>
        <w:rPr>
          <w:rFonts w:ascii="Noto Sans SC" w:hAnsi="Noto Sans SC" w:eastAsia="Noto Sans SC" w:cs="Noto Sans SC"/>
          <w:b/>
          <w:i w:val="0"/>
          <w:color w:val="087E8B"/>
          <w:sz w:val="17"/>
        </w:rPr>
        <w:t>11 · DOMAIN MODEL</w:t>
      </w:r>
    </w:p>
    <w:p>
      <w:pPr>
        <w:pStyle w:val="Heading1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32"/>
        </w:rPr>
        <w:t>Canonical 商务对象与不变量</w:t>
      </w:r>
    </w:p>
    <w:p>
      <w:pPr>
        <w:keepNext w:val="0"/>
        <w:keepLines/>
        <w:spacing w:before="60" w:after="60"/>
        <w:jc w:val="center"/>
        <w:widowControl/>
      </w:pPr>
      <w:r>
        <w:drawing>
          <wp:inline xmlns:a="http://schemas.openxmlformats.org/drawingml/2006/main" xmlns:pic="http://schemas.openxmlformats.org/drawingml/2006/picture">
            <wp:extent cx="5806440" cy="3609259"/>
            <wp:docPr id="6" name="Picture 6" title="Canonical 商务对象关系图" descr="Principal 关联 AgentIdentity 并签发 Mandate；能力和价格版本形成 Quote，进入 CommerceTask、Usage/Evidence、Sale/Tax、Payment/Ledger 与 Settlement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onical_domain_grap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09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after="160"/>
        <w:jc w:val="center"/>
        <w:widowControl/>
      </w:pPr>
      <w:r>
        <w:rPr>
          <w:rFonts w:ascii="Noto Sans SC" w:hAnsi="Noto Sans SC" w:eastAsia="Noto Sans SC" w:cs="Noto Sans SC"/>
          <w:b w:val="0"/>
          <w:i/>
          <w:color w:val="52616B"/>
          <w:sz w:val="16"/>
        </w:rPr>
        <w:t>图 4｜Task 是开发者运行对象；Sale 是法律与财务对象。两者关联但不可合并。</w:t>
      </w: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全局字段与数值规则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6DF"/>
          <w:left w:val="single" w:sz="6" w:color="CDD6DF"/>
          <w:bottom w:val="single" w:sz="6" w:color="CDD6DF"/>
          <w:right w:val="single" w:sz="6" w:color="CDD6DF"/>
          <w:insideH w:val="single" w:sz="6" w:color="CDD6DF"/>
          <w:insideV w:val="single" w:sz="6" w:color="CDD6DF"/>
        </w:tblBorders>
      </w:tblPr>
      <w:tblGrid>
        <w:gridCol w:w="1700"/>
        <w:gridCol w:w="7660"/>
      </w:tblGrid>
      <w:tr>
        <w:trPr>
          <w:cantSplit/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规则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MUST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Identity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所有资源使用 UUIDv7；含 schema_version、resource_version、tenant_id、created_at、updated_at、trace_id。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Actor attribution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财务对象额外保存 principal_id、acting_agent_id、supplier_id、mor_entity_id、task_id。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Money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amount 为 decimal string + ISO currency；禁止 binary float；rounding policy 随 RateCardVersion 固定。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Time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存储 UTC；展示时使用 workspace/user timezone；effective_at 与 observed_at 分开。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Immutability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Quote、published versions、TaxDecision snapshot、ledger entry、signed Evidence 不可原地修改；更正用新事件/adjustment。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Contract hash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包含 capability、input/output schema、rate card、terms、evidence policy、supply classification 的版本/hash。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Traceability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协议 request → quote → task → usage/evidence → sale/tax → payment/ledger/settlement 共享或关联 trace_id。</w:t>
            </w:r>
          </w:p>
        </w:tc>
      </w:tr>
    </w:tbl>
    <w:p>
      <w:pPr>
        <w:spacing w:before="80" w:after="80"/>
      </w:pP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主体、目录与授权对象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6DF"/>
          <w:left w:val="single" w:sz="6" w:color="CDD6DF"/>
          <w:bottom w:val="single" w:sz="6" w:color="CDD6DF"/>
          <w:right w:val="single" w:sz="6" w:color="CDD6DF"/>
          <w:insideH w:val="single" w:sz="6" w:color="CDD6DF"/>
          <w:insideV w:val="single" w:sz="6" w:color="CDD6DF"/>
        </w:tblBorders>
      </w:tblPr>
      <w:tblGrid>
        <w:gridCol w:w="1700"/>
        <w:gridCol w:w="4300"/>
        <w:gridCol w:w="3360"/>
      </w:tblGrid>
      <w:tr>
        <w:trPr>
          <w:cantSplit/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资源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关键字段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不变量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Party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type(person/business/system)、legal_profile、tax_profile、addresses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Party 是通用主体；不能用 email 作为法律唯一键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PrincipalAccount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party_id、budget/credit、billing、payment methods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承担经济/法律后果；永不等同 Agent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AgentIdentity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provider_id、instance_id、key/attestation、version、status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Provider 与 instance 分开；密钥可轮换/撤销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Mandate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principal、agent、scopes、vendor/capability、budgets、purpose、time、depth、evidence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与 payment auth 分开；可验证、可撤销、默认最小权限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SupplierAccount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party、MoR contract、settlement、risk/tax profile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每个 sale 明确 supplier 与 MoR entity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CapabilityVersion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schemas、delivery、SLA、evidence、data policy、tax/supply class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published immutable；breaking change 新 major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RateCardVersion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currency、price components、meters、rounding、limits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rating 决定性；报价固定版本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Quote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versions、quantity estimate、tax estimate、all-in max、expiry、contract hash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过期/版本变更需重报；不可静默涨价</w:t>
            </w:r>
          </w:p>
        </w:tc>
      </w:tr>
    </w:tbl>
    <w:p>
      <w:pPr>
        <w:spacing w:before="80" w:after="80"/>
      </w:pP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运行、财务与售后对象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6DF"/>
          <w:left w:val="single" w:sz="6" w:color="CDD6DF"/>
          <w:bottom w:val="single" w:sz="6" w:color="CDD6DF"/>
          <w:right w:val="single" w:sz="6" w:color="CDD6DF"/>
          <w:insideH w:val="single" w:sz="6" w:color="CDD6DF"/>
          <w:insideV w:val="single" w:sz="6" w:color="CDD6DF"/>
        </w:tblBorders>
      </w:tblPr>
      <w:tblGrid>
        <w:gridCol w:w="1700"/>
        <w:gridCol w:w="4300"/>
        <w:gridCol w:w="3360"/>
      </w:tblGrid>
      <w:tr>
        <w:trPr>
          <w:cantSplit/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资源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关键字段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不变量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CommerceTask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quote、mandate、state、input/output refs、deadline、trace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开发者执行对象；状态迁移由事件驱动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Reservation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amount/units、rail、expires_at、auth refs、captured/released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预留不等于收入；capture 合计不超授权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UsageEvent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event_id、meter、quantity、dimensions、source、observed_at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append-only、dedupe、可晚到；adjustment 不改原事件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Evidence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type、digest、uri、issuer、signature、claims、retention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默认最小数据；支持 delivery/acceptance/dispute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Acceptance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rule、actor、decision、reason、accepted units/value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自动接受规则随 quote 固定；拒绝可解释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Sale / ChargeLine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seller/supplier、buyer、task、gross/net/tax、commercial hash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法律/商业对象；charge line 可独立退款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TaxDecision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classification、location evidence、B2B/B2C、rate、reverse charge、provider/version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保存 estimate/final snapshot；LLM 只建议分类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Payment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intent/auth/capture/refund、provider refs、status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provider 抽象；禁止保存 PAN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LedgerTransaction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balanced postings、account、currency、effective/recorded time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每币种借贷平衡；确认后不可删改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Settlement / Payout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period、gross、tax、refund、fees、reserve、net、destination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只从 available balance 支付；失败不重复扣账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Refund / Dispute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charge lines、reason、evidence、outcome、deadlines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资金与税务 adjustment 显式；case 全程审计</w:t>
            </w:r>
          </w:p>
        </w:tc>
      </w:tr>
    </w:tbl>
    <w:p>
      <w:pPr>
        <w:spacing w:before="80" w:after="80"/>
      </w:pPr>
    </w:p>
    <w:p>
      <w:pPr>
        <w:keepNext/>
        <w:keepLines w:val="0"/>
        <w:pageBreakBefore/>
        <w:spacing w:before="40" w:after="80"/>
        <w:widowControl/>
      </w:pPr>
      <w:r>
        <w:rPr>
          <w:rFonts w:ascii="Noto Sans SC" w:hAnsi="Noto Sans SC" w:eastAsia="Noto Sans SC" w:cs="Noto Sans SC"/>
          <w:b/>
          <w:i w:val="0"/>
          <w:color w:val="087E8B"/>
          <w:sz w:val="17"/>
        </w:rPr>
        <w:t>12 · STATE MACHINES</w:t>
      </w:r>
    </w:p>
    <w:p>
      <w:pPr>
        <w:pStyle w:val="Heading1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32"/>
        </w:rPr>
        <w:t>状态机、合法迁移与恢复语义</w:t>
      </w:r>
    </w:p>
    <w:p>
      <w:pPr>
        <w:keepNext w:val="0"/>
        <w:keepLines/>
        <w:spacing w:before="60" w:after="60"/>
        <w:jc w:val="center"/>
        <w:widowControl/>
      </w:pPr>
      <w:r>
        <w:drawing>
          <wp:inline xmlns:a="http://schemas.openxmlformats.org/drawingml/2006/main" xmlns:pic="http://schemas.openxmlformats.org/drawingml/2006/picture">
            <wp:extent cx="5806440" cy="3602942"/>
            <wp:docPr id="7" name="Picture 7" title="核心状态机" descr="Commerce Task、Reservation、Settlement 与 Dispute 四条状态机及其主路径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_machin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02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after="160"/>
        <w:jc w:val="center"/>
        <w:widowControl/>
      </w:pPr>
      <w:r>
        <w:rPr>
          <w:rFonts w:ascii="Noto Sans SC" w:hAnsi="Noto Sans SC" w:eastAsia="Noto Sans SC" w:cs="Noto Sans SC"/>
          <w:b w:val="0"/>
          <w:i/>
          <w:color w:val="52616B"/>
          <w:sz w:val="16"/>
        </w:rPr>
        <w:t>图 5｜异常不是单一 failed；任务、资金、结算和争议各自演进，并通过事件关联。</w:t>
      </w: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CommerceTask 主路径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6DF"/>
          <w:left w:val="single" w:sz="6" w:color="CDD6DF"/>
          <w:bottom w:val="single" w:sz="6" w:color="CDD6DF"/>
          <w:right w:val="single" w:sz="6" w:color="CDD6DF"/>
          <w:insideH w:val="single" w:sz="6" w:color="CDD6DF"/>
          <w:insideV w:val="single" w:sz="6" w:color="CDD6DF"/>
        </w:tblBorders>
      </w:tblPr>
      <w:tblGrid>
        <w:gridCol w:w="1900"/>
        <w:gridCol w:w="1850"/>
        <w:gridCol w:w="2900"/>
        <w:gridCol w:w="2710"/>
      </w:tblGrid>
      <w:tr>
        <w:trPr>
          <w:cantSplit/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From → To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触发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前置条件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副作用 / 事件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DRAFT → QUOTED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quote created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published capability/rate card；valid tax context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quote.created；contract hash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QUOTED → AUTHORIZED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mandate + payment auth verified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not expired/revoked；within scope/budget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mandate.verified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AUTHORIZED → RESERVED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reserve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funds/credits available；idempotent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reservation.authorized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RESERVED → RUNNING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supplier start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schema validated；deadline/data policy accepted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task.started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RUNNING → DELIVERED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delivery + evidence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output/evidence requirements met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task.delivered；evidence.recorded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DELIVERED → ACCEPTED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human/policy acceptance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within acceptance window；actor authorized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task.accepted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ACCEPTED → FINALIZED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rating/tax/capture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final ≤ authorized ceiling；balanced postings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sale.finalized；payment.captured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FINALIZED → CLOSED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post-sale window/settlement rule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invoice issued；operational checks complete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task.closed</w:t>
            </w:r>
          </w:p>
        </w:tc>
      </w:tr>
    </w:tbl>
    <w:p>
      <w:pPr>
        <w:spacing w:before="80" w:after="80"/>
      </w:pP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异常状态与恢复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6DF"/>
          <w:left w:val="single" w:sz="6" w:color="CDD6DF"/>
          <w:bottom w:val="single" w:sz="6" w:color="CDD6DF"/>
          <w:right w:val="single" w:sz="6" w:color="CDD6DF"/>
          <w:insideH w:val="single" w:sz="6" w:color="CDD6DF"/>
          <w:insideV w:val="single" w:sz="6" w:color="CDD6DF"/>
        </w:tblBorders>
      </w:tblPr>
      <w:tblGrid>
        <w:gridCol w:w="1850"/>
        <w:gridCol w:w="2900"/>
        <w:gridCol w:w="2490"/>
        <w:gridCol w:w="2120"/>
      </w:tblGrid>
      <w:tr>
        <w:trPr>
          <w:cantSplit/>
          <w:tblHeader w:val="true"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状态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何时进入</w:t>
            </w:r>
          </w:p>
        </w:tc>
        <w:tc>
          <w:tcPr>
            <w:tcW w:type="dxa" w:w="24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资金规则</w:t>
            </w:r>
          </w:p>
        </w:tc>
        <w:tc>
          <w:tcPr>
            <w:tcW w:type="dxa" w:w="2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允许动作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QUOTE_EXPIRED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expiry 或版本失效</w:t>
            </w:r>
          </w:p>
        </w:tc>
        <w:tc>
          <w:tcPr>
            <w:tcW w:type="dxa" w:w="249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无 capture；释放临时 reserve</w:t>
            </w:r>
          </w:p>
        </w:tc>
        <w:tc>
          <w:tcPr>
            <w:tcW w:type="dxa" w:w="2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re-quote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AUTHORIZATION_FAILED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mandate/payment auth 不通过</w:t>
            </w:r>
          </w:p>
        </w:tc>
        <w:tc>
          <w:tcPr>
            <w:tcW w:type="dxa" w:w="249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不得执行</w:t>
            </w:r>
          </w:p>
        </w:tc>
        <w:tc>
          <w:tcPr>
            <w:tcW w:type="dxa" w:w="212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fix identity、step-up、换 rail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RESERVATION_FAILED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余额/rail/provider 失败</w:t>
            </w:r>
          </w:p>
        </w:tc>
        <w:tc>
          <w:tcPr>
            <w:tcW w:type="dxa" w:w="249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不得执行不可逆工作</w:t>
            </w:r>
          </w:p>
        </w:tc>
        <w:tc>
          <w:tcPr>
            <w:tcW w:type="dxa" w:w="2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retry safe、换 credits/rail、取消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FAILED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执行不可恢复失败</w:t>
            </w:r>
          </w:p>
        </w:tc>
        <w:tc>
          <w:tcPr>
            <w:tcW w:type="dxa" w:w="249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按披露规则 capture 0 或合法部分</w:t>
            </w:r>
          </w:p>
        </w:tc>
        <w:tc>
          <w:tcPr>
            <w:tcW w:type="dxa" w:w="212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retry new attempt、refund、close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PARTIALLY_DELIVERED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部分 milestone/units 完成</w:t>
            </w:r>
          </w:p>
        </w:tc>
        <w:tc>
          <w:tcPr>
            <w:tcW w:type="dxa" w:w="249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只对 accepted units capture</w:t>
            </w:r>
          </w:p>
        </w:tc>
        <w:tc>
          <w:tcPr>
            <w:tcW w:type="dxa" w:w="2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accept/reject/continue/cancel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REJECTED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验收不通过</w:t>
            </w:r>
          </w:p>
        </w:tc>
        <w:tc>
          <w:tcPr>
            <w:tcW w:type="dxa" w:w="249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hold/void 或转 dispute policy</w:t>
            </w:r>
          </w:p>
        </w:tc>
        <w:tc>
          <w:tcPr>
            <w:tcW w:type="dxa" w:w="212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resubmit、refund、open dispute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CANCELLED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用户/政策/超时取消</w:t>
            </w:r>
          </w:p>
        </w:tc>
        <w:tc>
          <w:tcPr>
            <w:tcW w:type="dxa" w:w="249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未捕获预留释放；已捕获走退款</w:t>
            </w:r>
          </w:p>
        </w:tc>
        <w:tc>
          <w:tcPr>
            <w:tcW w:type="dxa" w:w="2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view final receipt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REFUNDED / DISPUTED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售后流程</w:t>
            </w:r>
          </w:p>
        </w:tc>
        <w:tc>
          <w:tcPr>
            <w:tcW w:type="dxa" w:w="249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ledger/tax adjustment；settlement hold/offset</w:t>
            </w:r>
          </w:p>
        </w:tc>
        <w:tc>
          <w:tcPr>
            <w:tcW w:type="dxa" w:w="212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evidence、appeal、close</w:t>
            </w:r>
          </w:p>
        </w:tc>
      </w:tr>
    </w:tbl>
    <w:p>
      <w:pPr>
        <w:spacing w:before="80" w:after="80"/>
      </w:pPr>
    </w:p>
    <w:p>
      <w:pPr>
        <w:spacing w:before="100" w:after="200" w:line="276" w:lineRule="auto"/>
        <w:shd w:fill="FDECEC"/>
        <w:keepNext w:val="0"/>
        <w:keepLines/>
        <w:pBdr>
          <w:left w:val="single" w:sz="18" w:space="8" w:color="B42318"/>
        </w:pBdr>
        <w:ind w:left="180" w:right="180"/>
        <w:widowControl/>
      </w:pPr>
      <w:r>
        <w:rPr>
          <w:rFonts w:ascii="Noto Sans SC" w:hAnsi="Noto Sans SC" w:eastAsia="Noto Sans SC" w:cs="Noto Sans SC"/>
          <w:b/>
          <w:i w:val="0"/>
          <w:color w:val="B42318"/>
          <w:sz w:val="18"/>
        </w:rPr>
        <w:t xml:space="preserve">实现要求  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所有状态迁移 MUST 由命令 + 事件产生，携带 expected resource_version；重复命令返回原结果，乱序事件进入 buffer/dead-letter 或确定性拒绝，不能隐式回滚历史。</w:t>
      </w:r>
    </w:p>
    <w:p>
      <w:pPr>
        <w:keepNext/>
        <w:keepLines w:val="0"/>
        <w:pageBreakBefore/>
        <w:spacing w:before="40" w:after="80"/>
        <w:widowControl/>
      </w:pPr>
      <w:r>
        <w:rPr>
          <w:rFonts w:ascii="Noto Sans SC" w:hAnsi="Noto Sans SC" w:eastAsia="Noto Sans SC" w:cs="Noto Sans SC"/>
          <w:b/>
          <w:i w:val="0"/>
          <w:color w:val="087E8B"/>
          <w:sz w:val="17"/>
        </w:rPr>
        <w:t>13 · MONETIZATION</w:t>
      </w:r>
    </w:p>
    <w:p>
      <w:pPr>
        <w:pStyle w:val="Heading1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32"/>
        </w:rPr>
        <w:t>Catalog、Offer、定价、计量与 Credits</w:t>
      </w: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Agent Service Manifest</w:t>
      </w:r>
    </w:p>
    <w:p>
      <w:pPr>
        <w:keepNext/>
        <w:keepLines w:val="0"/>
        <w:spacing w:after="60"/>
        <w:widowControl/>
      </w:pPr>
      <w:r>
        <w:rPr>
          <w:rFonts w:ascii="Noto Sans SC" w:hAnsi="Noto Sans SC" w:eastAsia="Noto Sans SC" w:cs="Noto Sans SC"/>
          <w:b/>
          <w:i w:val="0"/>
          <w:color w:val="52616B"/>
          <w:sz w:val="17"/>
        </w:rPr>
        <w:t>示例 1｜Dashboard 表单与 manifest 必须 round-trip；manifest 不含 secret。</w:t>
      </w:r>
    </w:p>
    <w:p>
      <w:pPr>
        <w:spacing w:after="160" w:line="240" w:lineRule="auto"/>
        <w:shd w:fill="F7F9FB"/>
        <w:keepNext w:val="0"/>
        <w:keepLines/>
        <w:pBdr>
          <w:left w:val="single" w:sz="18" w:space="8" w:color="8A9BA8"/>
        </w:pBdr>
        <w:ind w:left="180" w:right="180"/>
        <w:widowControl/>
      </w:pPr>
      <w:r>
        <w:rPr>
          <w:rFonts w:ascii="Liberation Mono" w:hAnsi="Liberation Mono" w:eastAsia="Liberation Mono" w:cs="Liberation Mono"/>
          <w:b w:val="0"/>
          <w:i w:val="0"/>
          <w:color w:val="263746"/>
          <w:sz w:val="15"/>
        </w:rPr>
        <w:t>apiVersion: commerce.mor.ai/v1alpha1</w:t>
        <w:br/>
        <w:t>kind: AgentService</w:t>
        <w:br/>
        <w:t>metadata:</w:t>
        <w:br/>
        <w:t xml:space="preserve">  name: web-research</w:t>
        <w:br/>
        <w:t>spec:</w:t>
        <w:br/>
        <w:t xml:space="preserve">  capability:</w:t>
        <w:br/>
        <w:t xml:space="preserve">    inputSchema: ./schemas/request.json</w:t>
        <w:br/>
        <w:t xml:space="preserve">    outputSchema: ./schemas/result.json</w:t>
        <w:br/>
        <w:t xml:space="preserve">    delivery: {mode: async, timeout: 10m}</w:t>
        <w:br/>
        <w:t xml:space="preserve">  pricing:</w:t>
        <w:br/>
        <w:t xml:space="preserve">    rateCard: research-v3</w:t>
        <w:br/>
        <w:t xml:space="preserve">    meters: [browser_seconds, output_tokens]</w:t>
        <w:br/>
        <w:t xml:space="preserve">    maximum: {amount: "25.00", currency: USD}</w:t>
        <w:br/>
        <w:t xml:space="preserve">  authorization:</w:t>
        <w:br/>
        <w:t xml:space="preserve">    scopes: [task:create, usage:write]</w:t>
        <w:br/>
        <w:t xml:space="preserve">    stepUpAbove: {amount: "10.00", currency: USD}</w:t>
        <w:br/>
        <w:t xml:space="preserve">  evidence:</w:t>
        <w:br/>
        <w:t xml:space="preserve">    required: [delivery_digest, source_manifest]</w:t>
        <w:br/>
        <w:t xml:space="preserve">  commerce:</w:t>
        <w:br/>
        <w:t xml:space="preserve">    supplyType: digital_service</w:t>
        <w:br/>
        <w:t xml:space="preserve">    refundPolicy: pro_rata_accepted_usage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6DF"/>
          <w:left w:val="single" w:sz="6" w:color="CDD6DF"/>
          <w:bottom w:val="single" w:sz="6" w:color="CDD6DF"/>
          <w:right w:val="single" w:sz="6" w:color="CDD6DF"/>
          <w:insideH w:val="single" w:sz="6" w:color="CDD6DF"/>
          <w:insideV w:val="single" w:sz="6" w:color="CDD6DF"/>
        </w:tblBorders>
      </w:tblPr>
      <w:tblGrid>
        <w:gridCol w:w="1750"/>
        <w:gridCol w:w="7610"/>
      </w:tblGrid>
      <w:tr>
        <w:trPr>
          <w:cantSplit/>
          <w:tblHeader w:val="true"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发布规则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规格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Round-trip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Dashboard 修改产生 version diff，可导出 manifest；CLI/API 修改在 Dashboard 显示同一 diff。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Secrets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manifest 只引用 secret/identity ID；绝不内嵌 API key、payment credential 或证书私钥。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Supply type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供应商可建议，MoR taxonomy/ops 决定；变更需要重审并产生新版本。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Compatibility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新增 optional 字段可 minor；删除/改类型/语义为 breaking major；旧任务固定旧版本。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Publish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schema、meter、tax、terms、evidence、delivery 与 pricing 全部验证后才可发布。</w:t>
            </w:r>
          </w:p>
        </w:tc>
      </w:tr>
    </w:tbl>
    <w:p>
      <w:pPr>
        <w:spacing w:before="80" w:after="80"/>
      </w:pP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定价原语与发布顺序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6DF"/>
          <w:left w:val="single" w:sz="6" w:color="CDD6DF"/>
          <w:bottom w:val="single" w:sz="6" w:color="CDD6DF"/>
          <w:right w:val="single" w:sz="6" w:color="CDD6DF"/>
          <w:insideH w:val="single" w:sz="6" w:color="CDD6DF"/>
          <w:insideV w:val="single" w:sz="6" w:color="CDD6DF"/>
        </w:tblBorders>
      </w:tblPr>
      <w:tblGrid>
        <w:gridCol w:w="1200"/>
        <w:gridCol w:w="5380"/>
        <w:gridCol w:w="2780"/>
      </w:tblGrid>
      <w:tr>
        <w:trPr>
          <w:cantSplit/>
          <w:tblHeader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阶段</w:t>
            </w:r>
          </w:p>
        </w:tc>
        <w:tc>
          <w:tcPr>
            <w:tcW w:type="dxa" w:w="5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定价能力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约束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P0</w:t>
            </w:r>
          </w:p>
        </w:tc>
        <w:tc>
          <w:tcPr>
            <w:tcW w:type="dxa" w:w="53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fixed task；per-unit；package；graduated tier；subscription allowance + overage；prepaid credits；min/max；session netting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确定性 rating；quote/final ceiling；currency/rounding/version 固定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P1</w:t>
            </w:r>
          </w:p>
        </w:tc>
        <w:tc>
          <w:tcPr>
            <w:tcW w:type="dxa" w:w="538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milestone；outcome bonus；multi-agent allocation；commit；enterprise override；split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acceptance/evidence 明确；不能用模糊“成功”自动扣款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P2</w:t>
            </w:r>
          </w:p>
        </w:tc>
        <w:tc>
          <w:tcPr>
            <w:tcW w:type="dxa" w:w="53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dynamic negotiation；auction/market；streaming；bundle across vendors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需要市场规则、fairness、escrow/credit 与跨腿责任模型</w:t>
            </w:r>
          </w:p>
        </w:tc>
      </w:tr>
    </w:tbl>
    <w:p>
      <w:pPr>
        <w:spacing w:before="80" w:after="80"/>
      </w:pP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Meter 与 UsageEvent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6DF"/>
          <w:left w:val="single" w:sz="6" w:color="CDD6DF"/>
          <w:bottom w:val="single" w:sz="6" w:color="CDD6DF"/>
          <w:right w:val="single" w:sz="6" w:color="CDD6DF"/>
          <w:insideH w:val="single" w:sz="6" w:color="CDD6DF"/>
          <w:insideV w:val="single" w:sz="6" w:color="CDD6DF"/>
        </w:tblBorders>
      </w:tblPr>
      <w:tblGrid>
        <w:gridCol w:w="2200"/>
        <w:gridCol w:w="7160"/>
      </w:tblGrid>
      <w:tr>
        <w:trPr>
          <w:cantSplit/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字段 / 规则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P0 规格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meter_id / unit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稳定 ID；unit 具语义（token、second、call、MB、accepted_task），不能仅用 display label。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aggregation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sum、count、max、unique、last；窗口与 timezone 固定在 meter version。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dimensions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仅允许声明字段；高基数/PII 默认拒绝；用于 pricing 的维度需版本化。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trusted_source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supplier、MoR gateway、provider attestation 或 buyer acceptance；不同信任等级影响自动结算。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dedupe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event_id 在 tenant+meter 范围唯一；批量部分成功返回逐条结果。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late_event_window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窗口内重新 rating；窗口外用 adjustment + credit/debit note，不改原 invoice。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validation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非负、量纲、速度、任务状态、mandate ceiling、签名；异常进入 quarantine。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rating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相同 version、events、clock snapshot 得到相同 charge lines；支持完整 replay。</w:t>
            </w:r>
          </w:p>
        </w:tc>
      </w:tr>
    </w:tbl>
    <w:p>
      <w:pPr>
        <w:spacing w:before="80" w:after="80"/>
      </w:pP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Credits 语义</w:t>
      </w:r>
    </w:p>
    <w:p>
      <w:pPr>
        <w:keepNext w:val="0"/>
        <w:keepLines/>
        <w:numPr>
          <w:ilvl w:val="0"/>
          <w:numId w:val="10"/>
        </w:numPr>
        <w:spacing w:after="80" w:line="30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 xml:space="preserve">Credits 不是货币余额。 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必须声明适用 Offer、有效期、退款/转让规则、tax timing 与 breakage 处理。</w:t>
      </w:r>
    </w:p>
    <w:p>
      <w:pPr>
        <w:keepNext w:val="0"/>
        <w:keepLines/>
        <w:numPr>
          <w:ilvl w:val="0"/>
          <w:numId w:val="10"/>
        </w:numPr>
        <w:spacing w:after="80" w:line="30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 xml:space="preserve">消耗顺序确定。 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按 eligibility → expiry → grant priority → purchased/promotional policy；每次消耗形成 ledger link。</w:t>
      </w:r>
    </w:p>
    <w:p>
      <w:pPr>
        <w:keepNext w:val="0"/>
        <w:keepLines/>
        <w:numPr>
          <w:ilvl w:val="0"/>
          <w:numId w:val="10"/>
        </w:numPr>
        <w:spacing w:after="80" w:line="30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 xml:space="preserve">超额显式。 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allowance 用尽后按 rate card overage；若 mandate 禁止 overage 则停止/step-up。</w:t>
      </w:r>
    </w:p>
    <w:p>
      <w:pPr>
        <w:keepNext w:val="0"/>
        <w:keepLines/>
        <w:numPr>
          <w:ilvl w:val="0"/>
          <w:numId w:val="10"/>
        </w:numPr>
        <w:spacing w:after="80" w:line="30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 xml:space="preserve">展示双单位。 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用户同时看到 credits 与预计货币成本，避免 Agent 只凭抽象积分决策。</w:t>
      </w:r>
    </w:p>
    <w:p>
      <w:pPr>
        <w:keepNext/>
        <w:keepLines w:val="0"/>
        <w:pageBreakBefore/>
        <w:spacing w:before="40" w:after="80"/>
        <w:widowControl/>
      </w:pPr>
      <w:r>
        <w:rPr>
          <w:rFonts w:ascii="Noto Sans SC" w:hAnsi="Noto Sans SC" w:eastAsia="Noto Sans SC" w:cs="Noto Sans SC"/>
          <w:b/>
          <w:i w:val="0"/>
          <w:color w:val="087E8B"/>
          <w:sz w:val="17"/>
        </w:rPr>
        <w:t>14 · TRUST &amp; AUTHORIZATION</w:t>
      </w:r>
    </w:p>
    <w:p>
      <w:pPr>
        <w:pStyle w:val="Heading1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32"/>
        </w:rPr>
        <w:t>Principal、Agent Identity、Mandate 与权限控制</w:t>
      </w: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Mandate 最小字段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6DF"/>
          <w:left w:val="single" w:sz="6" w:color="CDD6DF"/>
          <w:bottom w:val="single" w:sz="6" w:color="CDD6DF"/>
          <w:right w:val="single" w:sz="6" w:color="CDD6DF"/>
          <w:insideH w:val="single" w:sz="6" w:color="CDD6DF"/>
          <w:insideV w:val="single" w:sz="6" w:color="CDD6DF"/>
        </w:tblBorders>
      </w:tblPr>
      <w:tblGrid>
        <w:gridCol w:w="1300"/>
        <w:gridCol w:w="4800"/>
        <w:gridCol w:w="3260"/>
      </w:tblGrid>
      <w:tr>
        <w:trPr>
          <w:cantSplit/>
          <w:tblHeader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类别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字段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默认策略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主体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principal_id、agent_provider_id、agent_instance_id、issuer/audience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实例不明时禁止 autonomous live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能力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allowed suppliers/capabilities/actions/scopes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deny by default；wildcard 需 admin + expiry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预算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per-task/day/month、currency、max unit/quantity、concurrency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取所有约束最小有效值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目的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purpose/category/project/cost center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必须匹配 task；用于审计和成本归因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时间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not_before、expires_at、max task duration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短有效期；实时 revocation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委派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may_delegate、max_depth、allowed subagents/vendors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P0 默认禁止或 depth=0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数据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allowed data classes、region、retention、no-training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超出范围阻断，不以免责声明替代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证据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required evidence、acceptance actor/rule、dispute policy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高价值任务要求强证据与人工/确定性验收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支付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allowed rails、credential ref、step-up threshold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Mandate 不包含主卡号/私钥；支付 auth 单独验证</w:t>
            </w:r>
          </w:p>
        </w:tc>
      </w:tr>
    </w:tbl>
    <w:p>
      <w:pPr>
        <w:spacing w:before="80" w:after="80"/>
      </w:pP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授权决策顺序</w:t>
      </w:r>
    </w:p>
    <w:p>
      <w:pPr>
        <w:keepNext w:val="0"/>
        <w:keepLines/>
        <w:numPr>
          <w:ilvl w:val="0"/>
          <w:numId w:val="14"/>
        </w:numPr>
        <w:spacing w:after="80" w:line="30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>验证身份。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签名、issuer/audience、key status、attestation、nonce/replay、provider/instance。</w:t>
      </w:r>
    </w:p>
    <w:p>
      <w:pPr>
        <w:keepNext w:val="0"/>
        <w:keepLines/>
        <w:numPr>
          <w:ilvl w:val="0"/>
          <w:numId w:val="14"/>
        </w:numPr>
        <w:spacing w:after="80" w:line="30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>解析 delegation。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从 Principal 到 acting Agent 的链完整、未撤销且不超过 max_depth。</w:t>
      </w:r>
    </w:p>
    <w:p>
      <w:pPr>
        <w:keepNext w:val="0"/>
        <w:keepLines/>
        <w:numPr>
          <w:ilvl w:val="0"/>
          <w:numId w:val="14"/>
        </w:numPr>
        <w:spacing w:after="80" w:line="30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>验证商业范围。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supplier、capability version、action、purpose、data、region、deadline。</w:t>
      </w:r>
    </w:p>
    <w:p>
      <w:pPr>
        <w:keepNext w:val="0"/>
        <w:keepLines/>
        <w:numPr>
          <w:ilvl w:val="0"/>
          <w:numId w:val="14"/>
        </w:numPr>
        <w:spacing w:after="80" w:line="30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>计算预算暴露。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本次 quote all-in + 并发 reservation + 周期已用；取 mandate/policy/account 最严格上限。</w:t>
      </w:r>
    </w:p>
    <w:p>
      <w:pPr>
        <w:keepNext w:val="0"/>
        <w:keepLines/>
        <w:numPr>
          <w:ilvl w:val="0"/>
          <w:numId w:val="14"/>
        </w:numPr>
        <w:spacing w:after="80" w:line="30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>验证 payment authorization。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credential scope、seller/amount/expiry、rail requirement；与 Mandate 分开。</w:t>
      </w:r>
    </w:p>
    <w:p>
      <w:pPr>
        <w:keepNext w:val="0"/>
        <w:keepLines/>
        <w:numPr>
          <w:ilvl w:val="0"/>
          <w:numId w:val="14"/>
        </w:numPr>
        <w:spacing w:after="80" w:line="30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>应用风险与合规。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sanctions、product risk、velocity、loop、evidence strength、country/rail restrictions。</w:t>
      </w:r>
    </w:p>
    <w:p>
      <w:pPr>
        <w:keepNext w:val="0"/>
        <w:keepLines/>
        <w:numPr>
          <w:ilvl w:val="0"/>
          <w:numId w:val="14"/>
        </w:numPr>
        <w:spacing w:after="80" w:line="30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>返回决定。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allow / deny / requires_action；包含稳定 reason codes、有效 policy versions 与 trace_id。</w:t>
      </w: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Scope 与角色矩阵（P0）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6DF"/>
          <w:left w:val="single" w:sz="6" w:color="CDD6DF"/>
          <w:bottom w:val="single" w:sz="6" w:color="CDD6DF"/>
          <w:right w:val="single" w:sz="6" w:color="CDD6DF"/>
          <w:insideH w:val="single" w:sz="6" w:color="CDD6DF"/>
          <w:insideV w:val="single" w:sz="6" w:color="CDD6DF"/>
        </w:tblBorders>
      </w:tblPr>
      <w:tblGrid>
        <w:gridCol w:w="1800"/>
        <w:gridCol w:w="1600"/>
        <w:gridCol w:w="1600"/>
        <w:gridCol w:w="1400"/>
        <w:gridCol w:w="1400"/>
        <w:gridCol w:w="1560"/>
      </w:tblGrid>
      <w:tr>
        <w:trPr>
          <w:cantSplit/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4"/>
              </w:rPr>
              <w:t>动作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4"/>
              </w:rPr>
              <w:t>Seller Dev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4"/>
              </w:rPr>
              <w:t>Buyer Agent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4"/>
              </w:rPr>
              <w:t>Finance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4"/>
              </w:rPr>
              <w:t>Risk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4"/>
              </w:rPr>
              <w:t>Admin / Dual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Catalog draft/publish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draft / publish*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read allowed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read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review flagged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*high-risk class approve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Quote / Task create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supplier actions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within mandate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read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hold/deny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policy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Usage write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task-scoped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buyer evidence only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read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quarantine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override by adjustment only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Refund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within threshold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request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execute threshold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case action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large refund dual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Payout destination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none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none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propose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hold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dual + step-up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Mandate issue/revoke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none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request only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budget view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suspend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Principal/Admin; revoke immediate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Risk release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none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none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read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propose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high amount dual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Live config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propose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none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finance fields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risk fields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publish approval</w:t>
            </w:r>
          </w:p>
        </w:tc>
      </w:tr>
    </w:tbl>
    <w:p>
      <w:pPr>
        <w:spacing w:before="80" w:after="80"/>
      </w:pPr>
    </w:p>
    <w:p>
      <w:pPr>
        <w:spacing w:before="100" w:after="200" w:line="276" w:lineRule="auto"/>
        <w:shd w:fill="FDECEC"/>
        <w:keepNext w:val="0"/>
        <w:keepLines/>
        <w:pBdr>
          <w:left w:val="single" w:sz="18" w:space="8" w:color="B42318"/>
        </w:pBdr>
        <w:ind w:left="180" w:right="180"/>
        <w:widowControl/>
      </w:pPr>
      <w:r>
        <w:rPr>
          <w:rFonts w:ascii="Noto Sans SC" w:hAnsi="Noto Sans SC" w:eastAsia="Noto Sans SC" w:cs="Noto Sans SC"/>
          <w:b/>
          <w:i w:val="0"/>
          <w:color w:val="B42318"/>
          <w:sz w:val="18"/>
        </w:rPr>
        <w:t xml:space="preserve">安全不变量  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任何自然语言 prompt、LLM tool selection 或 Agent self-report 都不能直接成为不可逆支付授权。它们只能生成受 schema 约束的提议；最终必须通过 identity、Mandate、payment authorization、policy、risk 与 ledger guards。</w:t>
      </w:r>
    </w:p>
    <w:p>
      <w:pPr>
        <w:keepNext/>
        <w:keepLines w:val="0"/>
        <w:pageBreakBefore/>
        <w:spacing w:before="40" w:after="80"/>
        <w:widowControl/>
      </w:pPr>
      <w:r>
        <w:rPr>
          <w:rFonts w:ascii="Noto Sans SC" w:hAnsi="Noto Sans SC" w:eastAsia="Noto Sans SC" w:cs="Noto Sans SC"/>
          <w:b/>
          <w:i w:val="0"/>
          <w:color w:val="087E8B"/>
          <w:sz w:val="17"/>
        </w:rPr>
        <w:t>15 · PAYMENTS</w:t>
      </w:r>
    </w:p>
    <w:p>
      <w:pPr>
        <w:pStyle w:val="Heading1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32"/>
        </w:rPr>
        <w:t>支付抽象、资金预留与 Rail Routing</w:t>
      </w: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内部支付对象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6DF"/>
          <w:left w:val="single" w:sz="6" w:color="CDD6DF"/>
          <w:bottom w:val="single" w:sz="6" w:color="CDD6DF"/>
          <w:right w:val="single" w:sz="6" w:color="CDD6DF"/>
          <w:insideH w:val="single" w:sz="6" w:color="CDD6DF"/>
          <w:insideV w:val="single" w:sz="6" w:color="CDD6DF"/>
        </w:tblBorders>
      </w:tblPr>
      <w:tblGrid>
        <w:gridCol w:w="1700"/>
        <w:gridCol w:w="2850"/>
        <w:gridCol w:w="4810"/>
      </w:tblGrid>
      <w:tr>
        <w:trPr>
          <w:cantSplit/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对象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语义</w:t>
            </w:r>
          </w:p>
        </w:tc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MUST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PaymentIntent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一次收款意图及允许的 payment methods</w:t>
            </w:r>
          </w:p>
        </w:tc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关联 quote/sale/principal；保存 max amount、currency、MoR entity、return path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Authorization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支付工具/额度授权，不等同 Mandate</w:t>
            </w:r>
          </w:p>
        </w:tc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保存 scope、amount、expires_at、provider ref；可增量授权但需 step-up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Reservation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MoR 内部统一的资金/credits/credit 预留</w:t>
            </w:r>
          </w:p>
        </w:tc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未 capture 不计收入；expires/release；并发预算可见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Capture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将合法交付金额确认为支付</w:t>
            </w:r>
          </w:p>
        </w:tc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合计 ≤ authorization/reservation；支持 partial；幂等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Refund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对已 capture charge line 的反向资金动作</w:t>
            </w:r>
          </w:p>
        </w:tc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关联原 capture、税/fee policy；状态与 provider 对账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ProviderReference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外部 PSP/bank/chain/tax ref 的规范映射</w:t>
            </w:r>
          </w:p>
        </w:tc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raw status 与 normalized status 并存；所有 webhook 签名验证</w:t>
            </w:r>
          </w:p>
        </w:tc>
      </w:tr>
    </w:tbl>
    <w:p>
      <w:pPr>
        <w:spacing w:before="80" w:after="80"/>
      </w:pP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Rail 产品路线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6DF"/>
          <w:left w:val="single" w:sz="6" w:color="CDD6DF"/>
          <w:bottom w:val="single" w:sz="6" w:color="CDD6DF"/>
          <w:right w:val="single" w:sz="6" w:color="CDD6DF"/>
          <w:insideH w:val="single" w:sz="6" w:color="CDD6DF"/>
          <w:insideV w:val="single" w:sz="6" w:color="CDD6DF"/>
        </w:tblBorders>
      </w:tblPr>
      <w:tblGrid>
        <w:gridCol w:w="1100"/>
        <w:gridCol w:w="3100"/>
        <w:gridCol w:w="2400"/>
        <w:gridCol w:w="2760"/>
      </w:tblGrid>
      <w:tr>
        <w:trPr>
          <w:cantSplit/>
          <w:tblHeader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阶段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Rail / 方式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主要场景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产品规则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P0 GA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Card、wallet、local pay、bank transfer、hosted/PSP token、prepaid credits、enterprise soft credit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SaaS/API、人类确认、企业账单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开发者声明约束；MoR 选择 provider/rail；3DS/redirect 可恢复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P0 beta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x402 / stablecoin（限定地区与数字服务）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低额 API/MCP、余额充值或单次付费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仍先形成 quote/tax context；链上结算不替代 invoice/refund/ledger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P1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SPT、AP2 token/mandate、MPP session、多 PSP、stablecoin settlement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Agent checkout、session 用量、受限 credential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adapter + region flag；主凭证不暴露给 Agent/seller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P2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多腿 A2A settlement、escrow、principal-guaranteed credit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多 Agent、milestone/outcome、自动采购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责任腿拆分；信用/托管需专门法律与风险模型</w:t>
            </w:r>
          </w:p>
        </w:tc>
      </w:tr>
    </w:tbl>
    <w:p>
      <w:pPr>
        <w:spacing w:before="80" w:after="80"/>
      </w:pP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Routing 决策</w:t>
      </w:r>
    </w:p>
    <w:p>
      <w:pPr>
        <w:keepNext w:val="0"/>
        <w:keepLines/>
        <w:numPr>
          <w:ilvl w:val="0"/>
          <w:numId w:val="15"/>
        </w:numPr>
        <w:spacing w:after="80" w:line="30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>过滤不可用路径。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按 MoR entity、buyer/seller country、currency、product class、B2B/B2C、amount、recurrence、agent channel 和 provider status。</w:t>
      </w:r>
    </w:p>
    <w:p>
      <w:pPr>
        <w:keepNext w:val="0"/>
        <w:keepLines/>
        <w:numPr>
          <w:ilvl w:val="0"/>
          <w:numId w:val="15"/>
        </w:numPr>
        <w:spacing w:after="80" w:line="30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>满足开发者约束。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allowed/blocked rails、settlement currency、max fee、latency、refundability、stablecoin policy。</w:t>
      </w:r>
    </w:p>
    <w:p>
      <w:pPr>
        <w:keepNext w:val="0"/>
        <w:keepLines/>
        <w:numPr>
          <w:ilvl w:val="0"/>
          <w:numId w:val="15"/>
        </w:numPr>
        <w:spacing w:after="80" w:line="30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>应用风险与授权。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3DS/step-up、credential scope、velocity、identity strength、mandate ceiling、chargeback history。</w:t>
      </w:r>
    </w:p>
    <w:p>
      <w:pPr>
        <w:keepNext w:val="0"/>
        <w:keepLines/>
        <w:numPr>
          <w:ilvl w:val="0"/>
          <w:numId w:val="15"/>
        </w:numPr>
        <w:spacing w:after="80" w:line="30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>优化可解释目标。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成功率优先，再考虑成本、结算速度与 FX；返回 selected rail + reason codes，不暴露敏感风控。</w:t>
      </w:r>
    </w:p>
    <w:p>
      <w:pPr>
        <w:keepNext w:val="0"/>
        <w:keepLines/>
        <w:numPr>
          <w:ilvl w:val="0"/>
          <w:numId w:val="15"/>
        </w:numPr>
        <w:spacing w:after="80" w:line="30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>失败恢复。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仅在未 capture 且语义安全时换 provider/rail；同一 PaymentIntent 下保持幂等和统一 receipt。</w:t>
      </w: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微额与高频用量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6DF"/>
          <w:left w:val="single" w:sz="6" w:color="CDD6DF"/>
          <w:bottom w:val="single" w:sz="6" w:color="CDD6DF"/>
          <w:right w:val="single" w:sz="6" w:color="CDD6DF"/>
          <w:insideH w:val="single" w:sz="6" w:color="CDD6DF"/>
          <w:insideV w:val="single" w:sz="6" w:color="CDD6DF"/>
        </w:tblBorders>
      </w:tblPr>
      <w:tblGrid>
        <w:gridCol w:w="2600"/>
        <w:gridCol w:w="6760"/>
      </w:tblGrid>
      <w:tr>
        <w:trPr>
          <w:cantSplit/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问题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P0/P1 处理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每次调用直接上卡成本过高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先使用 prepaid balance/credits、session reservation 或阈值聚合；达到 floor/period 后 capture。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无限 streaming 暴露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session 设置 max amount、max units、duration 与 heartbeat；超限暂停或 step-up。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并发 Agent 竞争预算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reservation 原子化；budget ledger 计入 open reservations；释放/到期事件实时生效。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网络/链上 finality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内部 pending/confirmed 分层；未达到 policy finality 不进入 seller available balance。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税务舍入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先按 charge line/tax jurisdiction rating，再在 invoice/session 级别按版本化规则舍入；不可简单按每调用舍入。</w:t>
            </w:r>
          </w:p>
        </w:tc>
      </w:tr>
    </w:tbl>
    <w:p>
      <w:pPr>
        <w:spacing w:before="80" w:after="80"/>
      </w:pPr>
    </w:p>
    <w:p>
      <w:pPr>
        <w:keepNext/>
        <w:keepLines w:val="0"/>
        <w:pageBreakBefore/>
        <w:spacing w:before="40" w:after="80"/>
        <w:widowControl/>
      </w:pPr>
      <w:r>
        <w:rPr>
          <w:rFonts w:ascii="Noto Sans SC" w:hAnsi="Noto Sans SC" w:eastAsia="Noto Sans SC" w:cs="Noto Sans SC"/>
          <w:b/>
          <w:i w:val="0"/>
          <w:color w:val="087E8B"/>
          <w:sz w:val="17"/>
        </w:rPr>
        <w:t>16 · MOR &amp; TAX</w:t>
      </w:r>
    </w:p>
    <w:p>
      <w:pPr>
        <w:pStyle w:val="Heading1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32"/>
        </w:rPr>
        <w:t>商业责任、税务、发票与合规</w:t>
      </w: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责任矩阵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6DF"/>
          <w:left w:val="single" w:sz="6" w:color="CDD6DF"/>
          <w:bottom w:val="single" w:sz="6" w:color="CDD6DF"/>
          <w:right w:val="single" w:sz="6" w:color="CDD6DF"/>
          <w:insideH w:val="single" w:sz="6" w:color="CDD6DF"/>
          <w:insideV w:val="single" w:sz="6" w:color="CDD6DF"/>
        </w:tblBorders>
      </w:tblPr>
      <w:tblGrid>
        <w:gridCol w:w="1500"/>
        <w:gridCol w:w="2100"/>
        <w:gridCol w:w="2350"/>
        <w:gridCol w:w="1900"/>
        <w:gridCol w:w="1510"/>
      </w:tblGrid>
      <w:tr>
        <w:trPr>
          <w:cantSplit/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4"/>
              </w:rPr>
              <w:t>责任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4"/>
              </w:rPr>
              <w:t>MoR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4"/>
              </w:rPr>
              <w:t>Supplier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4"/>
              </w:rPr>
              <w:t>Principal / Buyer</w:t>
            </w:r>
          </w:p>
        </w:tc>
        <w:tc>
          <w:tcPr>
            <w:tcW w:type="dxa" w:w="1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4"/>
              </w:rPr>
              <w:t>Agent / Provider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法律卖方 / 收款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对指定交易腿承担；显示在 checkout/invoice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向 MoR 供给并遵守产品/交付条款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向 MoR 购买并承担付款</w:t>
            </w:r>
          </w:p>
        </w:tc>
        <w:tc>
          <w:tcPr>
            <w:tcW w:type="dxa" w:w="15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仅在 mandate 内行动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产品与内容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审查、禁售、消费者披露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准确描述、合法权利、SLA/证据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合法用途/数据</w:t>
            </w:r>
          </w:p>
        </w:tc>
        <w:tc>
          <w:tcPr>
            <w:tcW w:type="dxa" w:w="151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不得绕过用途/数据政策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间接税 / 发票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分类审核、location、税率、征收申报、invoice/credit note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提供 supply/tax 信息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提供税号/location evidence</w:t>
            </w:r>
          </w:p>
        </w:tc>
        <w:tc>
          <w:tcPr>
            <w:tcW w:type="dxa" w:w="15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传递而非臆造 tax context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退款 / 争议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政策、执行、证据提交、资金/税调整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补证、修复、承担约定损失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提出请求/争议</w:t>
            </w:r>
          </w:p>
        </w:tc>
        <w:tc>
          <w:tcPr>
            <w:tcW w:type="dxa" w:w="151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提供任务证据，不代表人放弃权利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身份 / 授权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验证 seller、支付/Agent controls、审计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保护 integration credential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签发/撤销 mandate</w:t>
            </w:r>
          </w:p>
        </w:tc>
        <w:tc>
          <w:tcPr>
            <w:tcW w:type="dxa" w:w="15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保护 instance key、传递 principal/mandate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结算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对账、reserve、净额、payout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提供有效账户与税务资料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无直接 supplier payout 权利</w:t>
            </w:r>
          </w:p>
        </w:tc>
        <w:tc>
          <w:tcPr>
            <w:tcW w:type="dxa" w:w="151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不得将 receipt 伪装为 payout claim</w:t>
            </w:r>
          </w:p>
        </w:tc>
      </w:tr>
    </w:tbl>
    <w:p>
      <w:pPr>
        <w:spacing w:before="80" w:after="80"/>
      </w:pP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TaxContext 与决定流水线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6DF"/>
          <w:left w:val="single" w:sz="6" w:color="CDD6DF"/>
          <w:bottom w:val="single" w:sz="6" w:color="CDD6DF"/>
          <w:right w:val="single" w:sz="6" w:color="CDD6DF"/>
          <w:insideH w:val="single" w:sz="6" w:color="CDD6DF"/>
          <w:insideV w:val="single" w:sz="6" w:color="CDD6DF"/>
        </w:tblBorders>
      </w:tblPr>
      <w:tblGrid>
        <w:gridCol w:w="1100"/>
        <w:gridCol w:w="4550"/>
        <w:gridCol w:w="3710"/>
      </w:tblGrid>
      <w:tr>
        <w:trPr>
          <w:cantSplit/>
          <w:tblHeader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顺序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输入 / 决定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产出 / 阻断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1. Supply classification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Item/Capability、delivery、rights、human involvement、provider evidence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MoR taxonomy + version；高风险/不确定转人工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2. Parties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supplier、MoR entity、buyer legal type、tax IDs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B2B/B2C、validity snapshot；缺少必要信息阻断 live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3. Location evidence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billing address、IP、payment country、business establishment、agent principal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冲突规则与 evidence list；Agent location 不替代 Principal location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4. Place of supply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classification + parties + location + jurisdiction rules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tax jurisdiction、reverse charge/exemption eligibility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5. Estimate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quote lines、discount、credits、currency、rounding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tax estimate + all-in max；进入 mandate/reservation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6. Final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accepted usage/delivery、final price、FX/rate snapshot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final TaxDecision；不得静默超过授权 ceiling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7. Document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invoice rules、numbering、language、buyer/seller details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invoice/receipt/credit note；immutability + audit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8. Report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period ledger、adjustments、provider returns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filing/report dataset；reconciliation exceptions</w:t>
            </w:r>
          </w:p>
        </w:tc>
      </w:tr>
    </w:tbl>
    <w:p>
      <w:pPr>
        <w:spacing w:before="80" w:after="80"/>
      </w:pPr>
    </w:p>
    <w:p>
      <w:pPr>
        <w:spacing w:before="100" w:after="200" w:line="276" w:lineRule="auto"/>
        <w:shd w:fill="FFF3E8"/>
        <w:keepNext w:val="0"/>
        <w:keepLines/>
        <w:pBdr>
          <w:left w:val="single" w:sz="18" w:space="8" w:color="E97724"/>
        </w:pBdr>
        <w:ind w:left="180" w:right="180"/>
        <w:widowControl/>
      </w:pPr>
      <w:r>
        <w:rPr>
          <w:rFonts w:ascii="Noto Sans SC" w:hAnsi="Noto Sans SC" w:eastAsia="Noto Sans SC" w:cs="Noto Sans SC"/>
          <w:b/>
          <w:i w:val="0"/>
          <w:color w:val="E97724"/>
          <w:sz w:val="18"/>
        </w:rPr>
        <w:t xml:space="preserve">税超预留  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若 final tax 使总额超过 reservation/mandate：系统只能请求 step-up、减少数量/交付或取消；不能以“税是外部计算”为由超扣。LLM 只能建议 tax class 并说明依据，不能最终决定税务。</w:t>
      </w: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Seller 上线与持续合规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6DF"/>
          <w:left w:val="single" w:sz="6" w:color="CDD6DF"/>
          <w:bottom w:val="single" w:sz="6" w:color="CDD6DF"/>
          <w:right w:val="single" w:sz="6" w:color="CDD6DF"/>
          <w:insideH w:val="single" w:sz="6" w:color="CDD6DF"/>
          <w:insideV w:val="single" w:sz="6" w:color="CDD6DF"/>
        </w:tblBorders>
      </w:tblPr>
      <w:tblGrid>
        <w:gridCol w:w="1800"/>
        <w:gridCol w:w="4800"/>
        <w:gridCol w:w="2760"/>
      </w:tblGrid>
      <w:tr>
        <w:trPr>
          <w:cantSplit/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Gate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P0 检查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结果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KYB / Beneficial owners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entity、registrations、owners、sanctions、bank ownership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verified / review / rejected；保存 provider refs 与 decision snapshot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Product review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类别、交付、IP、restricted goods、AI/data rights、refund/SLA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allowed regions/rails、evidence/hold policy、terms requirements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Tax profile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supply class、nexus/registration、invoice obligations、withholding if applicable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MoR entity routing、tax provider config、manual review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Payout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destination ownership、currency、schedule、reserve/hold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two-person approval for changes；cooling period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Ongoing monitoring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volume/chargeback/refund、catalog/version changes、sanctions、provider health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dynamic limits、re-review、suspend/exit</w:t>
            </w:r>
          </w:p>
        </w:tc>
      </w:tr>
    </w:tbl>
    <w:p>
      <w:pPr>
        <w:spacing w:before="80" w:after="80"/>
      </w:pPr>
    </w:p>
    <w:p>
      <w:pPr>
        <w:keepNext/>
        <w:keepLines w:val="0"/>
        <w:pageBreakBefore/>
        <w:spacing w:before="40" w:after="80"/>
        <w:widowControl/>
      </w:pPr>
      <w:r>
        <w:rPr>
          <w:rFonts w:ascii="Noto Sans SC" w:hAnsi="Noto Sans SC" w:eastAsia="Noto Sans SC" w:cs="Noto Sans SC"/>
          <w:b/>
          <w:i w:val="0"/>
          <w:color w:val="087E8B"/>
          <w:sz w:val="17"/>
        </w:rPr>
        <w:t>17 · FINANCE RUNTIME</w:t>
      </w:r>
    </w:p>
    <w:p>
      <w:pPr>
        <w:pStyle w:val="Heading1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32"/>
        </w:rPr>
        <w:t>三账本、对账、结算、退款与争议</w:t>
      </w: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为什么必须是三本账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6DF"/>
          <w:left w:val="single" w:sz="6" w:color="CDD6DF"/>
          <w:bottom w:val="single" w:sz="6" w:color="CDD6DF"/>
          <w:right w:val="single" w:sz="6" w:color="CDD6DF"/>
          <w:insideH w:val="single" w:sz="6" w:color="CDD6DF"/>
          <w:insideV w:val="single" w:sz="6" w:color="CDD6DF"/>
        </w:tblBorders>
      </w:tblPr>
      <w:tblGrid>
        <w:gridCol w:w="1800"/>
        <w:gridCol w:w="2900"/>
        <w:gridCol w:w="2700"/>
        <w:gridCol w:w="1960"/>
      </w:tblGrid>
      <w:tr>
        <w:trPr>
          <w:cantSplit/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账本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记录什么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典型问题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不变量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Usage / Evidence Ledger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调用、用量、任务状态、交付、验收、签名证据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做了什么？多少？谁声明/接受？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append-only；dedupe；原始事件 + adjustment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Commercial Ledger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Quote、contract hash、Sale、charge lines、TaxDecision、invoice/refund/dispute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为什么该收这笔钱？法律卖方/税是谁？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版本化合同；业务总额可重算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Money Ledger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authorization/reservation/capture、fees、tax liability、seller payable、refund、payout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钱在哪里？归谁？可否提现？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双重记账；每币种平衡；确认后不可改</w:t>
            </w:r>
          </w:p>
        </w:tc>
      </w:tr>
    </w:tbl>
    <w:p>
      <w:pPr>
        <w:spacing w:before="80" w:after="80"/>
      </w:pP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Money ledger 示例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6DF"/>
          <w:left w:val="single" w:sz="6" w:color="CDD6DF"/>
          <w:bottom w:val="single" w:sz="6" w:color="CDD6DF"/>
          <w:right w:val="single" w:sz="6" w:color="CDD6DF"/>
          <w:insideH w:val="single" w:sz="6" w:color="CDD6DF"/>
          <w:insideV w:val="single" w:sz="6" w:color="CDD6DF"/>
        </w:tblBorders>
      </w:tblPr>
      <w:tblGrid>
        <w:gridCol w:w="2000"/>
        <w:gridCol w:w="2600"/>
        <w:gridCol w:w="2660"/>
        <w:gridCol w:w="2100"/>
      </w:tblGrid>
      <w:tr>
        <w:trPr>
          <w:cantSplit/>
          <w:tblHeader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事件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Debit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Credit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说明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Capture USD 120（含税 20）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Cash / PSP receivable 120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Seller sales payable 100；Tax payable 20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收入归属与税负分开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MoR fee USD 5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Seller sales payable 5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MoR fee revenue 5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费用按合同/charge line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Payout reserve USD 3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Seller available 3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Seller reserve 3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拒付/退款 reserve，不是费用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Payout USD 92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Seller available 92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Cash / bank payable 92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provider/bank confirmation后完成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Refund USD 24（净价20+税4）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Seller payable/reserve 20；Tax adjustment 4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Cash / PSP payable 24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同时产生 credit note 与商业 adjustment</w:t>
            </w:r>
          </w:p>
        </w:tc>
      </w:tr>
    </w:tbl>
    <w:p>
      <w:pPr>
        <w:spacing w:before="80" w:after="80"/>
      </w:pPr>
    </w:p>
    <w:p>
      <w:pPr>
        <w:pStyle w:val="SourceNote"/>
        <w:keepNext w:val="0"/>
        <w:keepLines/>
        <w:widowControl/>
      </w:pPr>
      <w:r>
        <w:rPr>
          <w:rFonts w:ascii="Noto Sans SC" w:hAnsi="Noto Sans SC" w:eastAsia="Noto Sans SC" w:cs="Noto Sans SC"/>
          <w:b w:val="0"/>
          <w:i w:val="0"/>
          <w:color w:val="52616B"/>
          <w:sz w:val="15"/>
        </w:rPr>
        <w:t>示例仅表达账本结构；具体科目、费用、税务与 reserve 归属依合同和实体会计政策确定。</w:t>
      </w: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结算公式与可用余额</w:t>
      </w:r>
    </w:p>
    <w:p>
      <w:pPr>
        <w:keepNext/>
        <w:keepLines w:val="0"/>
        <w:spacing w:after="60"/>
        <w:widowControl/>
      </w:pPr>
      <w:r>
        <w:rPr>
          <w:rFonts w:ascii="Noto Sans SC" w:hAnsi="Noto Sans SC" w:eastAsia="Noto Sans SC" w:cs="Noto Sans SC"/>
          <w:b/>
          <w:i w:val="0"/>
          <w:color w:val="52616B"/>
          <w:sz w:val="17"/>
        </w:rPr>
        <w:t>公式 1｜所有项目必须对应 balanced ledger postings；UI 不能用临时聚合替代。</w:t>
      </w:r>
    </w:p>
    <w:p>
      <w:pPr>
        <w:spacing w:after="160" w:line="240" w:lineRule="auto"/>
        <w:shd w:fill="F7F9FB"/>
        <w:keepNext w:val="0"/>
        <w:keepLines/>
        <w:pBdr>
          <w:left w:val="single" w:sz="18" w:space="8" w:color="8A9BA8"/>
        </w:pBdr>
        <w:ind w:left="180" w:right="180"/>
        <w:widowControl/>
      </w:pPr>
      <w:r>
        <w:rPr>
          <w:rFonts w:ascii="Liberation Mono" w:hAnsi="Liberation Mono" w:eastAsia="Liberation Mono" w:cs="Liberation Mono"/>
          <w:b w:val="0"/>
          <w:i w:val="0"/>
          <w:color w:val="263746"/>
          <w:sz w:val="15"/>
        </w:rPr>
        <w:t>seller_available = captured_net_of_tax</w:t>
        <w:br/>
        <w:t xml:space="preserve">                 - mor_fees</w:t>
        <w:br/>
        <w:t xml:space="preserve">                 - payment_fees_if_passed_through</w:t>
        <w:br/>
        <w:t xml:space="preserve">                 - refunds_and_disputes</w:t>
        <w:br/>
        <w:t xml:space="preserve">                 - rolling_reserve_and_holds</w:t>
        <w:br/>
        <w:t xml:space="preserve">                 + released_reserve</w:t>
        <w:br/>
        <w:t xml:space="preserve">                 +/- prior_period_adjustments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6DF"/>
          <w:left w:val="single" w:sz="6" w:color="CDD6DF"/>
          <w:bottom w:val="single" w:sz="6" w:color="CDD6DF"/>
          <w:right w:val="single" w:sz="6" w:color="CDD6DF"/>
          <w:insideH w:val="single" w:sz="6" w:color="CDD6DF"/>
          <w:insideV w:val="single" w:sz="6" w:color="CDD6DF"/>
        </w:tblBorders>
      </w:tblPr>
      <w:tblGrid>
        <w:gridCol w:w="1700"/>
        <w:gridCol w:w="1800"/>
        <w:gridCol w:w="5860"/>
      </w:tblGrid>
      <w:tr>
        <w:trPr>
          <w:cantSplit/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状态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可否 payout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进入 / 退出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pending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否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capture 尚未达到 provider finality / 风险等待期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available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是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provider confirmed、tax/fee postings 完成、无 hold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reserved / held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否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rolling reserve、dispute、risk、negative balance；释放需规则/审批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scheduled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否（已承诺）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payout batch 建立；失败恢复到 available 或 pending，不重复扣账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paid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已完成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bank/provider confirmation；保存 payout ref 和 FX/fee</w:t>
            </w:r>
          </w:p>
        </w:tc>
      </w:tr>
    </w:tbl>
    <w:p>
      <w:pPr>
        <w:spacing w:before="80" w:after="80"/>
      </w:pP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每日对账</w:t>
      </w:r>
    </w:p>
    <w:p>
      <w:pPr>
        <w:keepNext w:val="0"/>
        <w:keepLines/>
        <w:numPr>
          <w:ilvl w:val="0"/>
          <w:numId w:val="16"/>
        </w:numPr>
        <w:spacing w:after="80" w:line="30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>Ingest.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PSP/bank/chain/tax/payout 报告与 webhook，保留 raw ref、签名和 ingest time。</w:t>
      </w:r>
    </w:p>
    <w:p>
      <w:pPr>
        <w:keepNext w:val="0"/>
        <w:keepLines/>
        <w:numPr>
          <w:ilvl w:val="0"/>
          <w:numId w:val="16"/>
        </w:numPr>
        <w:spacing w:after="80" w:line="30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>Normalize.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映射 provider 状态、金额、currency、fee、FX 与 external IDs。</w:t>
      </w:r>
    </w:p>
    <w:p>
      <w:pPr>
        <w:keepNext w:val="0"/>
        <w:keepLines/>
        <w:numPr>
          <w:ilvl w:val="0"/>
          <w:numId w:val="16"/>
        </w:numPr>
        <w:spacing w:after="80" w:line="30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>Match.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优先 exact provider ref，其次 amount/currency/time/buyer，不允许模糊匹配自动关闭高额差异。</w:t>
      </w:r>
    </w:p>
    <w:p>
      <w:pPr>
        <w:keepNext w:val="0"/>
        <w:keepLines/>
        <w:numPr>
          <w:ilvl w:val="0"/>
          <w:numId w:val="16"/>
        </w:numPr>
        <w:spacing w:after="80" w:line="30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>Post.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确认外部事实形成 ledger transaction；重复文件/event 幂等。</w:t>
      </w:r>
    </w:p>
    <w:p>
      <w:pPr>
        <w:keepNext w:val="0"/>
        <w:keepLines/>
        <w:numPr>
          <w:ilvl w:val="0"/>
          <w:numId w:val="16"/>
        </w:numPr>
        <w:spacing w:after="80" w:line="30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>Exception.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missing/duplicate/amount/status/timing/FX/fee 差异生成 case，含 owner、SLA、资金暴露。</w:t>
      </w:r>
    </w:p>
    <w:p>
      <w:pPr>
        <w:keepNext w:val="0"/>
        <w:keepLines/>
        <w:numPr>
          <w:ilvl w:val="0"/>
          <w:numId w:val="16"/>
        </w:numPr>
        <w:spacing w:after="80" w:line="30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>Close.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T+1 period 无未解释差异；关账后变更进入下一期 adjustment。</w:t>
      </w: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退款与争议证据包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6DF"/>
          <w:left w:val="single" w:sz="6" w:color="CDD6DF"/>
          <w:bottom w:val="single" w:sz="6" w:color="CDD6DF"/>
          <w:right w:val="single" w:sz="6" w:color="CDD6DF"/>
          <w:insideH w:val="single" w:sz="6" w:color="CDD6DF"/>
          <w:insideV w:val="single" w:sz="6" w:color="CDD6DF"/>
        </w:tblBorders>
      </w:tblPr>
      <w:tblGrid>
        <w:gridCol w:w="1500"/>
        <w:gridCol w:w="4900"/>
        <w:gridCol w:w="2960"/>
      </w:tblGrid>
      <w:tr>
        <w:trPr>
          <w:cantSplit/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模块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包含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隐私 / 审批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Commercial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quote、contract hash、terms、checkout/mandate consent、invoice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仅提供争议所需版本和字段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Identity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principal、agent/provider/instance、credential/mandate verification、revocation status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密钥/PAN 永不导出；使用 verification proof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Execution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task timeline、usage、delivery、acceptance、SLA、evidence digests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默认不含 prompt/full output；敏感 URI 临时授权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Money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authorization/capture/refund、provider refs、ledger postings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财务字段按 case scope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Decision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risk/tax/policy versions、reason codes、human approvals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AI 建议与最终决定分开</w:t>
            </w:r>
          </w:p>
        </w:tc>
      </w:tr>
    </w:tbl>
    <w:p>
      <w:pPr>
        <w:spacing w:before="80" w:after="80"/>
      </w:pPr>
    </w:p>
    <w:p>
      <w:pPr>
        <w:keepNext/>
        <w:keepLines w:val="0"/>
        <w:pageBreakBefore/>
        <w:spacing w:before="40" w:after="80"/>
        <w:widowControl/>
      </w:pPr>
      <w:r>
        <w:rPr>
          <w:rFonts w:ascii="Noto Sans SC" w:hAnsi="Noto Sans SC" w:eastAsia="Noto Sans SC" w:cs="Noto Sans SC"/>
          <w:b/>
          <w:i w:val="0"/>
          <w:color w:val="087E8B"/>
          <w:sz w:val="17"/>
        </w:rPr>
        <w:t>18 · DEVELOPER PLATFORM</w:t>
      </w:r>
    </w:p>
    <w:p>
      <w:pPr>
        <w:pStyle w:val="Heading1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32"/>
        </w:rPr>
        <w:t>API、SDK、CLI、事件、错误与协议适配</w:t>
      </w: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核心 API Surface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6DF"/>
          <w:left w:val="single" w:sz="6" w:color="CDD6DF"/>
          <w:bottom w:val="single" w:sz="6" w:color="CDD6DF"/>
          <w:right w:val="single" w:sz="6" w:color="CDD6DF"/>
          <w:insideH w:val="single" w:sz="6" w:color="CDD6DF"/>
          <w:insideV w:val="single" w:sz="6" w:color="CDD6DF"/>
        </w:tblBorders>
      </w:tblPr>
      <w:tblGrid>
        <w:gridCol w:w="1400"/>
        <w:gridCol w:w="4360"/>
        <w:gridCol w:w="3600"/>
      </w:tblGrid>
      <w:tr>
        <w:trPr>
          <w:cantSplit/>
          <w:tblHeader w:val="true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域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P0 endpoints / actions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关键语义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Discovery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GET /.well-known/mor-capabilities；/catalog/items；/offers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agent-readable、版本/region/availability、cache/ETag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Quotes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POST /v1/quotes；GET /v1/quotes/:id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固定 capability/rate/terms/tax estimate/max/expiry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Mandates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POST /v1/mandates:verify；POST /:id/revoke；GET decisions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验证与支付 auth 分开；decision 可解释/重放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Tasks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POST /v1/tasks；GET /:id；GET /:id/timeline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创建需 quote/mandate；expected version；trace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Task actions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/reserve；/start；/usage:batch；/evidence；/deliver；/accept；/reject；/finalize；/cancel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合法状态迁移；幂等；逐动作 scopes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Finance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GET invoices/transactions/settlements；POST refunds；disputes evidence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金额关联 charge lines/ledger；敏感字段权限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Operations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GET events/traces；POST webhooks/:event:replay；GET reconciliation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只重放安全投递；不改已确认事实</w:t>
            </w:r>
          </w:p>
        </w:tc>
      </w:tr>
    </w:tbl>
    <w:p>
      <w:pPr>
        <w:spacing w:before="80" w:after="80"/>
      </w:pP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API 契约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6DF"/>
          <w:left w:val="single" w:sz="6" w:color="CDD6DF"/>
          <w:bottom w:val="single" w:sz="6" w:color="CDD6DF"/>
          <w:right w:val="single" w:sz="6" w:color="CDD6DF"/>
          <w:insideH w:val="single" w:sz="6" w:color="CDD6DF"/>
          <w:insideV w:val="single" w:sz="6" w:color="CDD6DF"/>
        </w:tblBorders>
      </w:tblPr>
      <w:tblGrid>
        <w:gridCol w:w="1700"/>
        <w:gridCol w:w="7660"/>
      </w:tblGrid>
      <w:tr>
        <w:trPr>
          <w:cantSplit/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要求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规范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Idempotency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所有 write 接受 Idempotency-Key；相同 key + 相同 canonical body 返回原结果；冲突 body 返回 IDEMPOTENCY_CONFLICT。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Version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X-Commerce-Version 声明 API contract；If-Match / resource_version 防止丢失更新。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Pagination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cursor-based；稳定排序；financial/event exports 支持 snapshot/as_of。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Time &amp; Money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RFC3339 UTC；decimal string；ISO currency；quantity decimal string + unit。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Async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202 + operation_id；GET operation 或 webhook；不以长连接掩盖不确定状态。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Auth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OAuth/workload identity + granular scopes；Agent tool call 绑定 task/mandate；生产 secret 不进 URL。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Rate limits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返回 limit/remaining/reset/retry-after；按 tenant/principal/agent/capability 公平限制。</w:t>
            </w:r>
          </w:p>
        </w:tc>
      </w:tr>
    </w:tbl>
    <w:p>
      <w:pPr>
        <w:spacing w:before="80" w:after="80"/>
      </w:pP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SDK、CLI 与本地 Emulator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6DF"/>
          <w:left w:val="single" w:sz="6" w:color="CDD6DF"/>
          <w:bottom w:val="single" w:sz="6" w:color="CDD6DF"/>
          <w:right w:val="single" w:sz="6" w:color="CDD6DF"/>
          <w:insideH w:val="single" w:sz="6" w:color="CDD6DF"/>
          <w:insideV w:val="single" w:sz="6" w:color="CDD6DF"/>
        </w:tblBorders>
      </w:tblPr>
      <w:tblGrid>
        <w:gridCol w:w="1450"/>
        <w:gridCol w:w="4850"/>
        <w:gridCol w:w="3060"/>
      </w:tblGrid>
      <w:tr>
        <w:trPr>
          <w:cantSplit/>
          <w:tblHeader w:val="true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工具</w:t>
            </w:r>
          </w:p>
        </w:tc>
        <w:tc>
          <w:tcPr>
            <w:tcW w:type="dxa" w:w="4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P0 内容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体验门槛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Task SDK</w:t>
            </w:r>
          </w:p>
        </w:tc>
        <w:tc>
          <w:tcPr>
            <w:tcW w:type="dxa" w:w="4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quote、authorize、reserve、start、usage、evidence、deliver/finalize；自动 idempotency/retry/trace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错误为 typed union；不吞掉 requires_action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Buyer SDK</w:t>
            </w:r>
          </w:p>
        </w:tc>
        <w:tc>
          <w:tcPr>
            <w:tcW w:type="dxa" w:w="48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principal/agent identity、mandate、discover/quote/purchase、budget/receipt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主支付 credential 不暴露给调用 Agent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Admin SDK</w:t>
            </w:r>
          </w:p>
        </w:tc>
        <w:tc>
          <w:tcPr>
            <w:tcW w:type="dxa" w:w="4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catalog/config、finance/risk、exports；server-side only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明确 privileged scopes；审计 actor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Raw Client</w:t>
            </w:r>
          </w:p>
        </w:tc>
        <w:tc>
          <w:tcPr>
            <w:tcW w:type="dxa" w:w="48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HTTP primitives、签名验证、pagination、webhook helpers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任何语言均可实现；OpenAPI/JSON Schema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CLI</w:t>
            </w:r>
          </w:p>
        </w:tc>
        <w:tc>
          <w:tcPr>
            <w:tcW w:type="dxa" w:w="4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mor init/dev/validate/generate/quote/test/replay/publish/diff/logs/refund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命令输出 human + --json；危险操作二次确认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Emulator</w:t>
            </w:r>
          </w:p>
        </w:tc>
        <w:tc>
          <w:tcPr>
            <w:tcW w:type="dxa" w:w="48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principal/agent/mandate/PSP/credits/tax/webhook/time；duplicate/out-of-order/timeout/loop/partial/refund/dispute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CI 可固定 seed 与虚拟时钟；行为与生产契约一致</w:t>
            </w:r>
          </w:p>
        </w:tc>
      </w:tr>
    </w:tbl>
    <w:p>
      <w:pPr>
        <w:spacing w:before="80" w:after="80"/>
      </w:pP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事件模型</w:t>
      </w:r>
    </w:p>
    <w:p>
      <w:pPr>
        <w:keepNext/>
        <w:keepLines w:val="0"/>
        <w:spacing w:after="60"/>
        <w:widowControl/>
      </w:pPr>
      <w:r>
        <w:rPr>
          <w:rFonts w:ascii="Noto Sans SC" w:hAnsi="Noto Sans SC" w:eastAsia="Noto Sans SC" w:cs="Noto Sans SC"/>
          <w:b/>
          <w:i w:val="0"/>
          <w:color w:val="52616B"/>
          <w:sz w:val="17"/>
        </w:rPr>
        <w:t>示例 2｜CloudEvents-like envelope；至少一次投递、签名、可重放。</w:t>
      </w:r>
    </w:p>
    <w:p>
      <w:pPr>
        <w:spacing w:after="160" w:line="240" w:lineRule="auto"/>
        <w:shd w:fill="F7F9FB"/>
        <w:keepNext w:val="0"/>
        <w:keepLines/>
        <w:pBdr>
          <w:left w:val="single" w:sz="18" w:space="8" w:color="8A9BA8"/>
        </w:pBdr>
        <w:ind w:left="180" w:right="180"/>
        <w:widowControl/>
      </w:pPr>
      <w:r>
        <w:rPr>
          <w:rFonts w:ascii="Liberation Mono" w:hAnsi="Liberation Mono" w:eastAsia="Liberation Mono" w:cs="Liberation Mono"/>
          <w:b w:val="0"/>
          <w:i w:val="0"/>
          <w:color w:val="263746"/>
          <w:sz w:val="15"/>
        </w:rPr>
        <w:t>{</w:t>
        <w:br/>
        <w:t xml:space="preserve">  "specversion": "1.0",</w:t>
        <w:br/>
        <w:t xml:space="preserve">  "type": "commerce.task.delivered.v1",</w:t>
        <w:br/>
        <w:t xml:space="preserve">  "id": "019...",</w:t>
        <w:br/>
        <w:t xml:space="preserve">  "source": "mor://workspace/ws_123",</w:t>
        <w:br/>
        <w:t xml:space="preserve">  "time": "2026-07-11T09:00:00Z",</w:t>
        <w:br/>
        <w:t xml:space="preserve">  "subject": "task/task_123",</w:t>
        <w:br/>
        <w:t xml:space="preserve">  "tenant_id": "tenant_123",</w:t>
        <w:br/>
        <w:t xml:space="preserve">  "trace_id": "tr_123",</w:t>
        <w:br/>
        <w:t xml:space="preserve">  "resource_version": 8,</w:t>
        <w:br/>
        <w:t xml:space="preserve">  "data": {"evidence_ids": ["ev_123"]}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6DF"/>
          <w:left w:val="single" w:sz="6" w:color="CDD6DF"/>
          <w:bottom w:val="single" w:sz="6" w:color="CDD6DF"/>
          <w:right w:val="single" w:sz="6" w:color="CDD6DF"/>
          <w:insideH w:val="single" w:sz="6" w:color="CDD6DF"/>
          <w:insideV w:val="single" w:sz="6" w:color="CDD6DF"/>
        </w:tblBorders>
      </w:tblPr>
      <w:tblGrid>
        <w:gridCol w:w="1700"/>
        <w:gridCol w:w="7660"/>
      </w:tblGrid>
      <w:tr>
        <w:trPr>
          <w:cantSplit/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规则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MUST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Delivery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at-least-once；指数退避 + jitter；最终 dead-letter；99% 首次尝试 &lt;60s。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Ordering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仅保证同 resource 的 resource_version；consumer 必须处理重复与乱序。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Signing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timestamp + body 签名；密钥轮换重叠窗口；防 replay tolerance。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Mutation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usage.adjusted / invoice.credited 等新事件；禁止修改历史 event payload。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Replay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只重投 delivery；若要重算，创建明确 replay job 并写入新 projection/version。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Schemas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事件类型版本化；向后兼容字段 optional；breaking 新 event type version。</w:t>
            </w:r>
          </w:p>
        </w:tc>
      </w:tr>
    </w:tbl>
    <w:p>
      <w:pPr>
        <w:spacing w:before="80" w:after="80"/>
      </w:pP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错误模型</w:t>
      </w:r>
    </w:p>
    <w:p>
      <w:pPr>
        <w:keepNext/>
        <w:keepLines w:val="0"/>
        <w:spacing w:after="60"/>
        <w:widowControl/>
      </w:pPr>
      <w:r>
        <w:rPr>
          <w:rFonts w:ascii="Noto Sans SC" w:hAnsi="Noto Sans SC" w:eastAsia="Noto Sans SC" w:cs="Noto Sans SC"/>
          <w:b/>
          <w:i w:val="0"/>
          <w:color w:val="52616B"/>
          <w:sz w:val="17"/>
        </w:rPr>
        <w:t>示例 3｜错误必须同时对人和 Agent 可操作，不能只给自然语言。</w:t>
      </w:r>
    </w:p>
    <w:p>
      <w:pPr>
        <w:spacing w:after="160" w:line="240" w:lineRule="auto"/>
        <w:shd w:fill="F7F9FB"/>
        <w:keepNext w:val="0"/>
        <w:keepLines/>
        <w:pBdr>
          <w:left w:val="single" w:sz="18" w:space="8" w:color="8A9BA8"/>
        </w:pBdr>
        <w:ind w:left="180" w:right="180"/>
        <w:widowControl/>
      </w:pPr>
      <w:r>
        <w:rPr>
          <w:rFonts w:ascii="Liberation Mono" w:hAnsi="Liberation Mono" w:eastAsia="Liberation Mono" w:cs="Liberation Mono"/>
          <w:b w:val="0"/>
          <w:i w:val="0"/>
          <w:color w:val="263746"/>
          <w:sz w:val="15"/>
        </w:rPr>
        <w:t>{</w:t>
        <w:br/>
        <w:t xml:space="preserve">  "error": {</w:t>
        <w:br/>
        <w:t xml:space="preserve">    "code": "MANDATE_BUDGET_EXCEEDED",</w:t>
        <w:br/>
        <w:t xml:space="preserve">    "message": "Quote exceeds the per-task mandate limit.",</w:t>
        <w:br/>
        <w:t xml:space="preserve">    "retryable": false,</w:t>
        <w:br/>
        <w:t xml:space="preserve">    "action_required": "principal_step_up",</w:t>
        <w:br/>
        <w:t xml:space="preserve">    "details": {"limit": "25.00", "quote": "48.00", "currency": "USD"},</w:t>
        <w:br/>
        <w:t xml:space="preserve">    "trace_id": "tr_123"</w:t>
        <w:br/>
        <w:t xml:space="preserve">  }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6DF"/>
          <w:left w:val="single" w:sz="6" w:color="CDD6DF"/>
          <w:bottom w:val="single" w:sz="6" w:color="CDD6DF"/>
          <w:right w:val="single" w:sz="6" w:color="CDD6DF"/>
          <w:insideH w:val="single" w:sz="6" w:color="CDD6DF"/>
          <w:insideV w:val="single" w:sz="6" w:color="CDD6DF"/>
        </w:tblBorders>
      </w:tblPr>
      <w:tblGrid>
        <w:gridCol w:w="2600"/>
        <w:gridCol w:w="3900"/>
        <w:gridCol w:w="2860"/>
      </w:tblGrid>
      <w:tr>
        <w:trPr>
          <w:cantSplit/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稳定 code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何时返回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安全动作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SCHEMA_VALIDATION_FAILED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input/output/usage/manifest 不符合版本 schema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修复字段；同 key 可重试修正后的新请求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IDEMPOTENCY_CONFLICT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同 key 不同 canonical body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使用原 body 或新 key；禁止自动猜测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RESOURCE_VERSION_CONFLICT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If-Match 过期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GET 最新、合并 diff、显式重试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MANDATE_SCOPE_DENIED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供应商/能力/用途/深度/数据越界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请求最小 scope step-up 或选择允许项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MANDATE_BUDGET_EXCEEDED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金额/用量/周期/并发超过上限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step-up、减量、释放其他 reservation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QUOTE_EXPIRED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报价/版本/税估计过期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重新 quote；不得复用旧 all-in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RESERVATION_UNAVAILABLE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资金/credits/provider 不可用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安全重试、换 rail、取消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INVALID_STATE_TRANSITION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动作不适用于当前状态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读取 timeline/allowed_actions；不要盲重试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EVIDENCE_INSUFFICIENT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缺少 quote 要求的交付/验收证据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补证或进入人工验收/争议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TAX_CONTEXT_INCOMPLETE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主体/location/tax ID/分类不足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补字段或 human checkout；不得猜税</w:t>
            </w:r>
          </w:p>
        </w:tc>
      </w:tr>
    </w:tbl>
    <w:p>
      <w:pPr>
        <w:spacing w:before="80" w:after="80"/>
      </w:pP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协议适配路线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6DF"/>
          <w:left w:val="single" w:sz="6" w:color="CDD6DF"/>
          <w:bottom w:val="single" w:sz="6" w:color="CDD6DF"/>
          <w:right w:val="single" w:sz="6" w:color="CDD6DF"/>
          <w:insideH w:val="single" w:sz="6" w:color="CDD6DF"/>
          <w:insideV w:val="single" w:sz="6" w:color="CDD6DF"/>
        </w:tblBorders>
      </w:tblPr>
      <w:tblGrid>
        <w:gridCol w:w="1500"/>
        <w:gridCol w:w="1100"/>
        <w:gridCol w:w="3850"/>
        <w:gridCol w:w="2910"/>
      </w:tblGrid>
      <w:tr>
        <w:trPr>
          <w:cantSplit/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协议 / 接口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P0/P1/P2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映射到内核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明确边界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MCP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P0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tools → catalog/quote/balance/task/pay/receipt/refund；resource → schemas/docs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连接工具，不自行承担商业授权/税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x402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P0 beta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402 challenge → quote/rail option；payment proof → authorization/provider ref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链上/HTTP proof 不替代 mandate、invoice、refund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A2A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P1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Agent Card → Capability；A2A task/artifact → CommerceTask/Evidence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协作协议不等于资金结算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UCP / ACP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P1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catalog/cart/checkout/order → Item/Offer/Quote/Sale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渠道 adapter；MoR/merchant responsibility 需逐路径明确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AP2 / SPT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P1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intent/checkout/payment mandate/token → Mandate/Payment Authorization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外部授权 proof 仍经 policy/risk/tax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MPP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P1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charge/session → Reservation/Capture/Usage session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多轨/payment session 不决定商业合同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多 Agent / AP4M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P2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delegation + task graph + per-leg sale/settlement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禁止把整条链含混为一笔 MoR sale</w:t>
            </w:r>
          </w:p>
        </w:tc>
      </w:tr>
    </w:tbl>
    <w:p>
      <w:pPr>
        <w:spacing w:before="80" w:after="80"/>
      </w:pPr>
    </w:p>
    <w:p>
      <w:pPr>
        <w:keepNext/>
        <w:keepLines w:val="0"/>
        <w:pageBreakBefore/>
        <w:spacing w:before="40" w:after="80"/>
        <w:widowControl/>
      </w:pPr>
      <w:r>
        <w:rPr>
          <w:rFonts w:ascii="Noto Sans SC" w:hAnsi="Noto Sans SC" w:eastAsia="Noto Sans SC" w:cs="Noto Sans SC"/>
          <w:b/>
          <w:i w:val="0"/>
          <w:color w:val="087E8B"/>
          <w:sz w:val="17"/>
        </w:rPr>
        <w:t>19 · RISK &amp; AI CONTROLS</w:t>
      </w:r>
    </w:p>
    <w:p>
      <w:pPr>
        <w:pStyle w:val="Heading1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32"/>
        </w:rPr>
        <w:t>Agent 风险、证据强度与 AI Copilot 边界</w:t>
      </w: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风险控制面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6DF"/>
          <w:left w:val="single" w:sz="6" w:color="CDD6DF"/>
          <w:bottom w:val="single" w:sz="6" w:color="CDD6DF"/>
          <w:right w:val="single" w:sz="6" w:color="CDD6DF"/>
          <w:insideH w:val="single" w:sz="6" w:color="CDD6DF"/>
          <w:insideV w:val="single" w:sz="6" w:color="CDD6DF"/>
        </w:tblBorders>
      </w:tblPr>
      <w:tblGrid>
        <w:gridCol w:w="1500"/>
        <w:gridCol w:w="3000"/>
        <w:gridCol w:w="3000"/>
        <w:gridCol w:w="1860"/>
      </w:tblGrid>
      <w:tr>
        <w:trPr>
          <w:cantSplit/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4"/>
              </w:rPr>
              <w:t>风险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4"/>
              </w:rPr>
              <w:t>检测信号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4"/>
              </w:rPr>
              <w:t>控制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4"/>
              </w:rPr>
              <w:t>恢复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身份冒用 / key 泄露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签名失败、设备/实例变化、异常 vendor/geo、nonce replay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revoke/rotate、step-up、short-lived credential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重新绑定 instance；审计受影响 tasks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Prompt injection 导致越权购买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工具调用与 purpose/schema/policy 不符、外部内容诱导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结构化 proposal；allowlist；mandate scope；human approval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阻断并显示命中政策；不执行 payment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Agent 循环 / runaway spend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高并发、重复 capability、深度/速度/单位成本突增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depth/concurrency/velocity/budget breaker；circuit stop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释放 reservation；人工审查；逐级恢复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虚假用量 / 交付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supplier-only meter、usage/evidence 不一致、签名/时序异常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trusted source、buyer acceptance、provider attestation、sampling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quarantine、补证、partial settlement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动态价格操纵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quote/final 差、异常 surge、同主体歧视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versioned rate card、max all-in、explainable quote、step-up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re-quote、降量、投诉/退款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多 Agent 责任不清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subagent 未声明、receipt 断链、重复收费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delegation chain、max_depth、per-leg task/sale/receipt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冻结争议腿；其余合法腿可结算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数据泄露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敏感 dimension/evidence/prompt、跨 tenant access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schema classification、redaction、URI ACL、residency、no-prompt default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revoke link、incident、legal hold</w:t>
            </w:r>
          </w:p>
        </w:tc>
      </w:tr>
    </w:tbl>
    <w:p>
      <w:pPr>
        <w:spacing w:before="80" w:after="80"/>
      </w:pP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Evidence Strength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6DF"/>
          <w:left w:val="single" w:sz="6" w:color="CDD6DF"/>
          <w:bottom w:val="single" w:sz="6" w:color="CDD6DF"/>
          <w:right w:val="single" w:sz="6" w:color="CDD6DF"/>
          <w:insideH w:val="single" w:sz="6" w:color="CDD6DF"/>
          <w:insideV w:val="single" w:sz="6" w:color="CDD6DF"/>
        </w:tblBorders>
      </w:tblPr>
      <w:tblGrid>
        <w:gridCol w:w="1700"/>
        <w:gridCol w:w="4650"/>
        <w:gridCol w:w="3010"/>
      </w:tblGrid>
      <w:tr>
        <w:trPr>
          <w:cantSplit/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等级</w:t>
            </w:r>
          </w:p>
        </w:tc>
        <w:tc>
          <w:tcPr>
            <w:tcW w:type="dxa" w:w="4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证据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允许的自主性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E0 · Self-asserted</w:t>
            </w:r>
          </w:p>
        </w:tc>
        <w:tc>
          <w:tcPr>
            <w:tcW w:type="dxa" w:w="4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供应商/Agent 单方状态或 usage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sandbox/shadow；不支持高价值自动 capture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E1 · Signed event</w:t>
            </w:r>
          </w:p>
        </w:tc>
        <w:tc>
          <w:tcPr>
            <w:tcW w:type="dxa" w:w="46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已验证 workload identity 的签名 event + digest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低额 allowlist；仍受强预算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E2 · Independent corroboration</w:t>
            </w:r>
          </w:p>
        </w:tc>
        <w:tc>
          <w:tcPr>
            <w:tcW w:type="dxa" w:w="4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gateway/provider meter、buyer acknowledgment、第三方 timestamp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中额自动结算；异常 sampling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E3 · Deterministic acceptance</w:t>
            </w:r>
          </w:p>
        </w:tc>
        <w:tc>
          <w:tcPr>
            <w:tcW w:type="dxa" w:w="46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可复算输出/SLA test、双签 receipt、强 attestation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高自主性；仍受法律/争议政策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E4 · Human / regulated proof</w:t>
            </w:r>
          </w:p>
        </w:tc>
        <w:tc>
          <w:tcPr>
            <w:tcW w:type="dxa" w:w="4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授权人验收、受监管证明或专门审计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高价值 milestone/outcome；双人/专项审批</w:t>
            </w:r>
          </w:p>
        </w:tc>
      </w:tr>
    </w:tbl>
    <w:p>
      <w:pPr>
        <w:spacing w:before="80" w:after="80"/>
      </w:pP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AI Copilot 可做与不可做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6DF"/>
          <w:left w:val="single" w:sz="6" w:color="CDD6DF"/>
          <w:bottom w:val="single" w:sz="6" w:color="CDD6DF"/>
          <w:right w:val="single" w:sz="6" w:color="CDD6DF"/>
          <w:insideH w:val="single" w:sz="6" w:color="CDD6DF"/>
          <w:insideV w:val="single" w:sz="6" w:color="CDD6DF"/>
        </w:tblBorders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可做（MAY / SHOULD）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不可做（MUST NOT）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根据自然语言生成 Item/Offer/Meter/Policy draft；生成 manifest、SDK 示例、测试；解释 trace/ledger/tax/risk 异常；建议分类并给依据；聚合 Action Inbox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自行发布 live rate/tax/risk/payout 配置；签发 Mandate；批准高额退款/风险释放；根据 prompt 直接扣款；修改/删除历史 evidence 或 ledger；把模型置信度当法律结论</w:t>
            </w:r>
          </w:p>
        </w:tc>
      </w:tr>
    </w:tbl>
    <w:p>
      <w:pPr>
        <w:spacing w:before="80" w:after="80"/>
      </w:pPr>
    </w:p>
    <w:p>
      <w:pPr>
        <w:spacing w:before="100" w:after="200" w:line="276" w:lineRule="auto"/>
        <w:shd w:fill="E8EEF5"/>
        <w:keepNext w:val="0"/>
        <w:keepLines/>
        <w:pBdr>
          <w:left w:val="single" w:sz="18" w:space="8" w:color="2E74B5"/>
        </w:pBdr>
        <w:ind w:left="180" w:right="18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18"/>
        </w:rPr>
        <w:t xml:space="preserve">AI 变更模式  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所有 Copilot 输出都是 ProposedChange：包含 diff、影响对象/金额、验证结果、信心与依据；经 schema/policy/test 后由有权限的人或预先批准的低风险 automation 发布。</w:t>
      </w:r>
    </w:p>
    <w:p>
      <w:pPr>
        <w:keepNext/>
        <w:keepLines w:val="0"/>
        <w:pageBreakBefore/>
        <w:spacing w:before="40" w:after="80"/>
        <w:widowControl/>
      </w:pPr>
      <w:r>
        <w:rPr>
          <w:rFonts w:ascii="Noto Sans SC" w:hAnsi="Noto Sans SC" w:eastAsia="Noto Sans SC" w:cs="Noto Sans SC"/>
          <w:b/>
          <w:i w:val="0"/>
          <w:color w:val="087E8B"/>
          <w:sz w:val="17"/>
        </w:rPr>
        <w:t>20 · NON-FUNCTIONAL</w:t>
      </w:r>
    </w:p>
    <w:p>
      <w:pPr>
        <w:pStyle w:val="Heading1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32"/>
        </w:rPr>
        <w:t>可靠性、安全、隐私、可观测与可访问性</w:t>
      </w: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SLO 与容量基线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6DF"/>
          <w:left w:val="single" w:sz="6" w:color="CDD6DF"/>
          <w:bottom w:val="single" w:sz="6" w:color="CDD6DF"/>
          <w:right w:val="single" w:sz="6" w:color="CDD6DF"/>
          <w:insideH w:val="single" w:sz="6" w:color="CDD6DF"/>
          <w:insideV w:val="single" w:sz="6" w:color="CDD6DF"/>
        </w:tblBorders>
      </w:tblPr>
      <w:tblGrid>
        <w:gridCol w:w="1700"/>
        <w:gridCol w:w="3200"/>
        <w:gridCol w:w="4460"/>
      </w:tblGrid>
      <w:tr>
        <w:trPr>
          <w:cantSplit/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领域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P0 目标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测量范围 / 备注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Availability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Transaction APIs 99.95%；Dashboard 99.9%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月度；排除预告维护但不排除 provider degradation 的内部恢复责任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Quote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p95 &lt;300ms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不含需同步外部 tax/provider 的长尾；应使用已验证 cache/estimate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Mandate verify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local p95 &lt;200ms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含 policy/identity/revocation cache；高风险可同步外部 step-up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Reserve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p95 &lt;1s（不含 PSP 用户动作）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区分 internal credits 与 external provider latency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Usage ingest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p95 &lt;150ms；单区域 2,000 events/s 基线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批量逐条结果；pressure/backoff；可水平扩展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Webhooks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99% 首次尝试 &lt;60s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签名事件产生到首次 delivery；后续指数重试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Consistency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Money ledger strong consistency；confirmed ledger RPO=0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quote/read model 可最终一致但显示 as_of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DR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非财务 RPO ≤5m；RTO ≤60m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ledger 多副本/备份恢复演练；provider refs 不丢</w:t>
            </w:r>
          </w:p>
        </w:tc>
      </w:tr>
    </w:tbl>
    <w:p>
      <w:pPr>
        <w:spacing w:before="80" w:after="80"/>
      </w:pP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安全与访问控制</w:t>
      </w:r>
    </w:p>
    <w:p>
      <w:pPr>
        <w:keepNext w:val="0"/>
        <w:keepLines/>
        <w:numPr>
          <w:ilvl w:val="0"/>
          <w:numId w:val="10"/>
        </w:numPr>
        <w:spacing w:after="80" w:line="30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 xml:space="preserve">Transport &amp; keys. 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TLS 1.2+；KMS/HSM 管理；短期 workload identity；secret rotation；webhook 签名；生产 key 不可恢复显示。</w:t>
      </w:r>
    </w:p>
    <w:p>
      <w:pPr>
        <w:keepNext w:val="0"/>
        <w:keepLines/>
        <w:numPr>
          <w:ilvl w:val="0"/>
          <w:numId w:val="10"/>
        </w:numPr>
        <w:spacing w:after="80" w:line="30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 xml:space="preserve">Payment data. 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不存 PAN/CVV；使用 PSP/network token；PCI scope 最小化；provider raw payload 按敏感级别加密/脱敏。</w:t>
      </w:r>
    </w:p>
    <w:p>
      <w:pPr>
        <w:keepNext w:val="0"/>
        <w:keepLines/>
        <w:numPr>
          <w:ilvl w:val="0"/>
          <w:numId w:val="10"/>
        </w:numPr>
        <w:spacing w:after="80" w:line="30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 xml:space="preserve">Authorization. 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RBAC + resource scopes + Mandate + policy；deny default；实时 revocation；关键动作 step-up/dual approval。</w:t>
      </w:r>
    </w:p>
    <w:p>
      <w:pPr>
        <w:keepNext w:val="0"/>
        <w:keepLines/>
        <w:numPr>
          <w:ilvl w:val="0"/>
          <w:numId w:val="10"/>
        </w:numPr>
        <w:spacing w:after="80" w:line="30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 xml:space="preserve">Tenant isolation. 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tenant_id 强制在数据访问层与日志/缓存/搜索索引；跨租户测试进入 CI 与渗透测试。</w:t>
      </w:r>
    </w:p>
    <w:p>
      <w:pPr>
        <w:keepNext w:val="0"/>
        <w:keepLines/>
        <w:numPr>
          <w:ilvl w:val="0"/>
          <w:numId w:val="10"/>
        </w:numPr>
        <w:spacing w:after="80" w:line="30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 xml:space="preserve">Supply chain. 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SDK/CLI/adapters 签名发布、SBOM、依赖扫描；protocol parser fuzz；webhook/manifest schema limits。</w:t>
      </w:r>
    </w:p>
    <w:p>
      <w:pPr>
        <w:keepNext w:val="0"/>
        <w:keepLines/>
        <w:numPr>
          <w:ilvl w:val="0"/>
          <w:numId w:val="10"/>
        </w:numPr>
        <w:spacing w:after="80" w:line="30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 xml:space="preserve">Incident. 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支付重复/越权、账本不平、跨租户泄露为 Sev0；kill switch 可按 agent/vendor/rail/capability/region。</w:t>
      </w: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隐私与证据最小化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6DF"/>
          <w:left w:val="single" w:sz="6" w:color="CDD6DF"/>
          <w:bottom w:val="single" w:sz="6" w:color="CDD6DF"/>
          <w:right w:val="single" w:sz="6" w:color="CDD6DF"/>
          <w:insideH w:val="single" w:sz="6" w:color="CDD6DF"/>
          <w:insideV w:val="single" w:sz="6" w:color="CDD6DF"/>
        </w:tblBorders>
      </w:tblPr>
      <w:tblGrid>
        <w:gridCol w:w="1900"/>
        <w:gridCol w:w="4260"/>
        <w:gridCol w:w="3200"/>
      </w:tblGrid>
      <w:tr>
        <w:trPr>
          <w:cantSplit/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数据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默认存储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Retention / Access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Prompt / full output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不存；仅在明确产品需要且合同/同意允许时 opt-in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最短期限；分类/脱敏；不得用于训练除非单独同意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Evidence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digest、type、issuer、timestamp、claims、受控 URI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随税务/争议/合同要求；case legal hold；细粒度 ACL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Identity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必要法定/KYB、agent provider/instance refs、verification status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按 AML/税/合同法规；敏感字段加密与访问审计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Usage dimensions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定价/风控必需字段；默认禁 PII/自由文本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meter version 定义；高基数限制；删除/聚合策略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Logs / traces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metadata、IDs、status、latency、redacted payload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生产调试窗口 + 长期 digest；不可记录 secret/PAN</w:t>
            </w:r>
          </w:p>
        </w:tc>
      </w:tr>
    </w:tbl>
    <w:p>
      <w:pPr>
        <w:spacing w:before="80" w:after="80"/>
      </w:pP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Observability、Accessibility 与国际化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6DF"/>
          <w:left w:val="single" w:sz="6" w:color="CDD6DF"/>
          <w:bottom w:val="single" w:sz="6" w:color="CDD6DF"/>
          <w:right w:val="single" w:sz="6" w:color="CDD6DF"/>
          <w:insideH w:val="single" w:sz="6" w:color="CDD6DF"/>
          <w:insideV w:val="single" w:sz="6" w:color="CDD6DF"/>
        </w:tblBorders>
      </w:tblPr>
      <w:tblGrid>
        <w:gridCol w:w="1750"/>
        <w:gridCol w:w="7610"/>
      </w:tblGrid>
      <w:tr>
        <w:trPr>
          <w:cantSplit/>
          <w:tblHeader w:val="true"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领域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P0 MUST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Tracing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trace_id 跨 protocol gateway、API、task、provider、webhook、tax、ledger；OpenTelemetry-compatible spans。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Metrics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RED + business/risk/ledger；按 tenant/rail/country/protocol 标签受控，禁止高基数爆炸。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Audit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actor、impersonation、IP/device、policy/version、before/after diff、ticket/approval、effective_at。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Accessibility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WCAG 2.2 AA 目标；键盘可达、焦点、表格/图表文本替代、状态不只依颜色、错误与字段关联。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Localization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UI/checkout/invoice 多语言；金额/日期/地址本地化；税务法定文本与实体模板版本化。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Timezones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账本/事件 UTC；billing period 指定 timezone；DST 有测试；用户界面明确显示。</w:t>
            </w:r>
          </w:p>
        </w:tc>
      </w:tr>
    </w:tbl>
    <w:p>
      <w:pPr>
        <w:spacing w:before="80" w:after="80"/>
      </w:pPr>
    </w:p>
    <w:p>
      <w:pPr>
        <w:keepNext/>
        <w:keepLines w:val="0"/>
        <w:pageBreakBefore/>
        <w:spacing w:before="40" w:after="80"/>
        <w:widowControl/>
      </w:pPr>
      <w:r>
        <w:rPr>
          <w:rFonts w:ascii="Noto Sans SC" w:hAnsi="Noto Sans SC" w:eastAsia="Noto Sans SC" w:cs="Noto Sans SC"/>
          <w:b/>
          <w:i w:val="0"/>
          <w:color w:val="087E8B"/>
          <w:sz w:val="17"/>
        </w:rPr>
        <w:t>21 · MEASUREMENT</w:t>
      </w:r>
    </w:p>
    <w:p>
      <w:pPr>
        <w:pStyle w:val="Heading1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32"/>
        </w:rPr>
        <w:t>产品分析、财务指标与实验框架</w:t>
      </w: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指标树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6DF"/>
          <w:left w:val="single" w:sz="6" w:color="CDD6DF"/>
          <w:bottom w:val="single" w:sz="6" w:color="CDD6DF"/>
          <w:right w:val="single" w:sz="6" w:color="CDD6DF"/>
          <w:insideH w:val="single" w:sz="6" w:color="CDD6DF"/>
          <w:insideV w:val="single" w:sz="6" w:color="CDD6DF"/>
        </w:tblBorders>
      </w:tblPr>
      <w:tblGrid>
        <w:gridCol w:w="1500"/>
        <w:gridCol w:w="3500"/>
        <w:gridCol w:w="4360"/>
      </w:tblGrid>
      <w:tr>
        <w:trPr>
          <w:cantSplit/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层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指标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计算 / 分层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North Star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Autonomous, reconciled, tax-correct Agent GP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Agent-originated closed sales 的 gross profit；无人工动作、账本已对账、TaxDecision 无 exception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Acquisition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new activated sellers / agent builders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按 channel、ICP、country、template、protocol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Activation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time-to-first-sandbox / first-live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从 workspace.created 到 golden path / first closed live sale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Engagement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active offers、active agents、repeat purchase/task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7/30d；按 principal-agent-supplier cohort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Commerce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quote→auth→reserve→complete conversion；GMV/TPV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按失败原因、pricing、rail、tax、country、protocol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Automation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autonomous completion、step-up、manual review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按 evidence strength、budget tier、agent version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Economics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net revenue、gross margin/1k calls、provider/tax/risk/support cost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按 offer、rail、country、seller cohort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Trust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unauthorized/duplicate spend、refund/dispute/fraud loss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金额+count；leading/lagging；Sev0 单列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Finance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reconciliation rate、unexplained variance、payout aging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按 provider/entity/currency/period；closed ledger</w:t>
            </w:r>
          </w:p>
        </w:tc>
      </w:tr>
    </w:tbl>
    <w:p>
      <w:pPr>
        <w:spacing w:before="80" w:after="80"/>
      </w:pP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关键事件字典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6DF"/>
          <w:left w:val="single" w:sz="6" w:color="CDD6DF"/>
          <w:bottom w:val="single" w:sz="6" w:color="CDD6DF"/>
          <w:right w:val="single" w:sz="6" w:color="CDD6DF"/>
          <w:insideH w:val="single" w:sz="6" w:color="CDD6DF"/>
          <w:insideV w:val="single" w:sz="6" w:color="CDD6DF"/>
        </w:tblBorders>
      </w:tblPr>
      <w:tblGrid>
        <w:gridCol w:w="2450"/>
        <w:gridCol w:w="2700"/>
        <w:gridCol w:w="4210"/>
      </w:tblGrid>
      <w:tr>
        <w:trPr>
          <w:cantSplit/>
          <w:tblHeader w:val="true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事件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触发点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关键属性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workspace.goal_selected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onboarding 目标确认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goal、template、persona、environment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catalog.version_published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Item/Offer/RateCard 发布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resource/version、agent_callable、tax_class、validation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quote.created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有效 Quote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origin、principal/agent、offer/version、estimate/max、tax、expiry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mandate.decisioned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授权决定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allow/deny/requires_action、reasons、policy versions、budget exposure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task.state_changed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合法状态迁移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from/to、actor、latency、attempt、evidence strength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usage.ingested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meter 事件结果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meter/version、unit、quantity、source、dedupe/validation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sale.finalized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商业与税务定案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gross/net/tax/fee、origin、pricing、rail、country、protocol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ledger.reconciled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外部与内部对账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provider/entity/currency/period、matched、variance、aging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action_inbox.resolved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运营动作关闭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type、amount at risk、owner、time-to-resolve、automation candidate</w:t>
            </w:r>
          </w:p>
        </w:tc>
      </w:tr>
    </w:tbl>
    <w:p>
      <w:pPr>
        <w:spacing w:before="80" w:after="80"/>
      </w:pP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实验守则</w:t>
      </w:r>
    </w:p>
    <w:p>
      <w:pPr>
        <w:keepNext w:val="0"/>
        <w:keepLines/>
        <w:numPr>
          <w:ilvl w:val="0"/>
          <w:numId w:val="10"/>
        </w:numPr>
        <w:spacing w:after="80" w:line="30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 xml:space="preserve">不能实验的内容。 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税率/法定义务、账本平衡、身份/授权、安全、消费者权利与明确条款不得用 A/B 放宽。</w:t>
      </w:r>
    </w:p>
    <w:p>
      <w:pPr>
        <w:keepNext w:val="0"/>
        <w:keepLines/>
        <w:numPr>
          <w:ilvl w:val="0"/>
          <w:numId w:val="10"/>
        </w:numPr>
        <w:spacing w:after="80" w:line="30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 xml:space="preserve">可实验的内容。 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onboarding 顺序、模板、空状态、错误修复建议、price presentation、step-up copy、默认 dashboard 视图。</w:t>
      </w:r>
    </w:p>
    <w:p>
      <w:pPr>
        <w:keepNext w:val="0"/>
        <w:keepLines/>
        <w:numPr>
          <w:ilvl w:val="0"/>
          <w:numId w:val="10"/>
        </w:numPr>
        <w:spacing w:after="80" w:line="30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 xml:space="preserve">单位与守护。 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随机单位以 workspace/principal 为主，避免同一主体跨变体；守护指标含 unauthorized spend、refund/dispute、support、latency。</w:t>
      </w:r>
    </w:p>
    <w:p>
      <w:pPr>
        <w:keepNext w:val="0"/>
        <w:keepLines/>
        <w:numPr>
          <w:ilvl w:val="0"/>
          <w:numId w:val="10"/>
        </w:numPr>
        <w:spacing w:after="80" w:line="30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 xml:space="preserve">Agent 实验。 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固定 model/agent version、seed 和 policy cohort；记录行为漂移；不能把短期 conversion 提升等同于可信度。</w:t>
      </w:r>
    </w:p>
    <w:p>
      <w:pPr>
        <w:keepNext/>
        <w:keepLines w:val="0"/>
        <w:pageBreakBefore/>
        <w:spacing w:before="40" w:after="80"/>
        <w:widowControl/>
      </w:pPr>
      <w:r>
        <w:rPr>
          <w:rFonts w:ascii="Noto Sans SC" w:hAnsi="Noto Sans SC" w:eastAsia="Noto Sans SC" w:cs="Noto Sans SC"/>
          <w:b/>
          <w:i w:val="0"/>
          <w:color w:val="087E8B"/>
          <w:sz w:val="17"/>
        </w:rPr>
        <w:t>22 · DELIVERY PLAN</w:t>
      </w:r>
    </w:p>
    <w:p>
      <w:pPr>
        <w:pStyle w:val="Heading1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32"/>
        </w:rPr>
        <w:t>路线图、依赖与发布门槛</w:t>
      </w: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P0 0–6 个月 Build Plan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6DF"/>
          <w:left w:val="single" w:sz="6" w:color="CDD6DF"/>
          <w:bottom w:val="single" w:sz="6" w:color="CDD6DF"/>
          <w:right w:val="single" w:sz="6" w:color="CDD6DF"/>
          <w:insideH w:val="single" w:sz="6" w:color="CDD6DF"/>
          <w:insideV w:val="single" w:sz="6" w:color="CDD6DF"/>
        </w:tblBorders>
      </w:tblPr>
      <w:tblGrid>
        <w:gridCol w:w="1600"/>
        <w:gridCol w:w="1100"/>
        <w:gridCol w:w="4050"/>
        <w:gridCol w:w="2610"/>
      </w:tblGrid>
      <w:tr>
        <w:trPr>
          <w:cantSplit/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Wave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时间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交付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Exit Criteria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W0 · Foundations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W0–4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Tenant/env、Party/Principal、Catalog/Offer versioning、event/idempotency、ledger skeleton、design system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创建 sandbox；版本/ETag；balanced test postings；trace 贯穿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W1 · Monetization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W4–10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Pricing/Meter/Credits、Hosted Checkout、subscription/usage、entitlements、webhooks、SDK quickstart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10 分钟首笔 sandbox；rating replay 一致；无重复权益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W2 · MoR / Finance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W8–16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Seller KYB、tax/invoice、payments、refund/dispute、reconciliation、settlement/payout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T+1 未解释差异 0；tax snapshot；refund/credit note 闭环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W3 · Agent Foundations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W12–20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AgentIdentity、Mandate/Policy、Task/Evidence、MCP tools、Agent-originated flow、x402 beta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受限 agent task 完成；revocation 实时；budget/depth breakers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W4 · Hardening / GA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W20–24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Action Inbox、risk、SLO/DR、安全、accessibility、migration、design partners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全 P0 acceptance；Sev0 exercise；3 sellers live；finance sign-off</w:t>
            </w:r>
          </w:p>
        </w:tc>
      </w:tr>
    </w:tbl>
    <w:p>
      <w:pPr>
        <w:spacing w:before="80" w:after="80"/>
      </w:pP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P1 / P2 与依赖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6DF"/>
          <w:left w:val="single" w:sz="6" w:color="CDD6DF"/>
          <w:bottom w:val="single" w:sz="6" w:color="CDD6DF"/>
          <w:right w:val="single" w:sz="6" w:color="CDD6DF"/>
          <w:insideH w:val="single" w:sz="6" w:color="CDD6DF"/>
          <w:insideV w:val="single" w:sz="6" w:color="CDD6DF"/>
        </w:tblBorders>
      </w:tblPr>
      <w:tblGrid>
        <w:gridCol w:w="1150"/>
        <w:gridCol w:w="3900"/>
        <w:gridCol w:w="2300"/>
        <w:gridCol w:w="2010"/>
      </w:tblGrid>
      <w:tr>
        <w:trPr>
          <w:cantSplit/>
          <w:tblHeader w:val="true"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阶段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产品包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外部依赖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内部前置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P1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A2A Billing Agent；UCP/ACP；SPT/AP2 verifier；MPP；multi-agent allocation；enterprise PO/SSO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协议版本与伙伴可用地区；network/PSP access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canonical contract stable；adapter conformance；design partners；risk/tax coverage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P2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AP4M/HNP；outcome/milestone/escrow；reputation；principal-guaranteed credit；auto procurement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法律/牌照、escrow/credit partners、行业证据标准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E2/E3 evidence adoption；low dispute；per-leg settlement；capital/risk policy</w:t>
            </w:r>
          </w:p>
        </w:tc>
      </w:tr>
    </w:tbl>
    <w:p>
      <w:pPr>
        <w:spacing w:before="80" w:after="80"/>
      </w:pP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旧系统迁移</w:t>
      </w:r>
    </w:p>
    <w:p>
      <w:pPr>
        <w:keepNext w:val="0"/>
        <w:keepLines/>
        <w:numPr>
          <w:ilvl w:val="0"/>
          <w:numId w:val="17"/>
        </w:numPr>
        <w:spacing w:after="80" w:line="30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>建立映射。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现有 Product → Catalog Item；Price → Offer/RateCardVersion；Customer → Party/Principal；Order 保持 facade。</w:t>
      </w:r>
    </w:p>
    <w:p>
      <w:pPr>
        <w:keepNext w:val="0"/>
        <w:keepLines/>
        <w:numPr>
          <w:ilvl w:val="0"/>
          <w:numId w:val="17"/>
        </w:numPr>
        <w:spacing w:after="80" w:line="30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>双写验证。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旧 API 继续服务，内部写 canonical objects；对比 invoice/entitlement/ledger projection，不影响真实扣款。</w:t>
      </w:r>
    </w:p>
    <w:p>
      <w:pPr>
        <w:keepNext w:val="0"/>
        <w:keepLines/>
        <w:numPr>
          <w:ilvl w:val="0"/>
          <w:numId w:val="17"/>
        </w:numPr>
        <w:spacing w:after="80" w:line="30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>Shadow rating.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新 rating/tax/ledger 对历史/实时事件 shadow 重算；差异有解释和阈值。</w:t>
      </w:r>
    </w:p>
    <w:p>
      <w:pPr>
        <w:keepNext w:val="0"/>
        <w:keepLines/>
        <w:numPr>
          <w:ilvl w:val="0"/>
          <w:numId w:val="17"/>
        </w:numPr>
        <w:spacing w:after="80" w:line="30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>迁移配置。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生成 manifest/diff；用户在 test 环境确认；不自动复制 live secret/payment data。</w:t>
      </w:r>
    </w:p>
    <w:p>
      <w:pPr>
        <w:keepNext w:val="0"/>
        <w:keepLines/>
        <w:numPr>
          <w:ilvl w:val="0"/>
          <w:numId w:val="17"/>
        </w:numPr>
        <w:spacing w:after="80" w:line="30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>逐 API deprecate。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发布 migration SDK、codemod、changelog、usage report；重大客户有 dual-run window。</w:t>
      </w:r>
    </w:p>
    <w:p>
      <w:pPr>
        <w:keepNext w:val="0"/>
        <w:keepLines/>
        <w:numPr>
          <w:ilvl w:val="0"/>
          <w:numId w:val="17"/>
        </w:numPr>
        <w:spacing w:after="80" w:line="300" w:lineRule="auto"/>
        <w:widowControl/>
      </w:pPr>
      <w:r>
        <w:rPr>
          <w:rFonts w:ascii="Noto Sans SC" w:hAnsi="Noto Sans SC" w:eastAsia="Noto Sans SC" w:cs="Noto Sans SC"/>
          <w:b/>
          <w:i w:val="0"/>
          <w:color w:val="102A43"/>
          <w:sz w:val="21"/>
        </w:rPr>
        <w:t>关闭旧写路径。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在余额、invoice、webhook、refund、payout 全部 reconcile 后，旧对象只读。</w:t>
      </w: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发布 Stage Gates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6DF"/>
          <w:left w:val="single" w:sz="6" w:color="CDD6DF"/>
          <w:bottom w:val="single" w:sz="6" w:color="CDD6DF"/>
          <w:right w:val="single" w:sz="6" w:color="CDD6DF"/>
          <w:insideH w:val="single" w:sz="6" w:color="CDD6DF"/>
          <w:insideV w:val="single" w:sz="6" w:color="CDD6DF"/>
        </w:tblBorders>
      </w:tblPr>
      <w:tblGrid>
        <w:gridCol w:w="1750"/>
        <w:gridCol w:w="5850"/>
        <w:gridCol w:w="1760"/>
      </w:tblGrid>
      <w:tr>
        <w:trPr>
          <w:cantSplit/>
          <w:tblHeader w:val="true"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Gate</w:t>
            </w:r>
          </w:p>
        </w:tc>
        <w:tc>
          <w:tcPr>
            <w:tcW w:type="dxa" w:w="5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必须通过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签字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Sandbox Beta</w:t>
            </w:r>
          </w:p>
        </w:tc>
        <w:tc>
          <w:tcPr>
            <w:tcW w:type="dxa" w:w="5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golden path；typed errors；emulator；无真实资金；schema/version/idempotency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Product + Eng + DX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Design Partner Live</w:t>
            </w:r>
          </w:p>
        </w:tc>
        <w:tc>
          <w:tcPr>
            <w:tcW w:type="dxa" w:w="58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KYB/tax/payment/refund/ledger/reconciliation；低限额；人工值守；incident runbook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Finance + Tax + Risk + Eng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Limited GA</w:t>
            </w:r>
          </w:p>
        </w:tc>
        <w:tc>
          <w:tcPr>
            <w:tcW w:type="dxa" w:w="5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SLO/DR；security review；accessibility；3+ sellers；no unexplained ledger variance；support SLAs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GM + Security + Compliance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Agent Autonomy</w:t>
            </w:r>
          </w:p>
        </w:tc>
        <w:tc>
          <w:tcPr>
            <w:tcW w:type="dxa" w:w="585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Mandate/revocation/breakers；E1+ evidence；step-up；no prompt→pay；loss/exception thresholds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Risk + Product + Compliance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Protocol GA</w:t>
            </w:r>
          </w:p>
        </w:tc>
        <w:tc>
          <w:tcPr>
            <w:tcW w:type="dxa" w:w="5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conformance suite；version policy；partner availability matrix；fallback；adapter metrics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Protocol Owner + Eng + Support</w:t>
            </w:r>
          </w:p>
        </w:tc>
      </w:tr>
    </w:tbl>
    <w:p>
      <w:pPr>
        <w:spacing w:before="80" w:after="80"/>
      </w:pPr>
    </w:p>
    <w:p>
      <w:pPr>
        <w:keepNext/>
        <w:keepLines w:val="0"/>
        <w:pageBreakBefore/>
        <w:spacing w:before="40" w:after="80"/>
        <w:widowControl/>
      </w:pPr>
      <w:r>
        <w:rPr>
          <w:rFonts w:ascii="Noto Sans SC" w:hAnsi="Noto Sans SC" w:eastAsia="Noto Sans SC" w:cs="Noto Sans SC"/>
          <w:b/>
          <w:i w:val="0"/>
          <w:color w:val="087E8B"/>
          <w:sz w:val="17"/>
        </w:rPr>
        <w:t>23 · ACCEPTANCE</w:t>
      </w:r>
    </w:p>
    <w:p>
      <w:pPr>
        <w:pStyle w:val="Heading1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32"/>
        </w:rPr>
        <w:t>P0 验收标准与 Release Gate</w:t>
      </w:r>
    </w:p>
    <w:p>
      <w:pPr>
        <w:spacing w:before="100" w:after="200" w:line="276" w:lineRule="auto"/>
        <w:shd w:fill="FDECEC"/>
        <w:keepNext w:val="0"/>
        <w:keepLines/>
        <w:pBdr>
          <w:left w:val="single" w:sz="18" w:space="8" w:color="B42318"/>
        </w:pBdr>
        <w:ind w:left="180" w:right="180"/>
        <w:widowControl/>
      </w:pPr>
      <w:r>
        <w:rPr>
          <w:rFonts w:ascii="Noto Sans SC" w:hAnsi="Noto Sans SC" w:eastAsia="Noto Sans SC" w:cs="Noto Sans SC"/>
          <w:b/>
          <w:i w:val="0"/>
          <w:color w:val="B42318"/>
          <w:sz w:val="18"/>
        </w:rPr>
        <w:t xml:space="preserve">最终 Release Gate  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至少一条真实交易链必须可验证、可重放、可对账：Principal / Agent → Quote → Mandate/Consent → Reservation/Payment → Task/Order → Usage/Evidence → Sale/Tax/Invoice → Money Ledger → Refund/Settlement/Payout；任何一步无 trace 或金额无法平衡即阻断发布。</w:t>
      </w: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A. Developer Experience &amp; Catalog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6DF"/>
          <w:left w:val="single" w:sz="6" w:color="CDD6DF"/>
          <w:bottom w:val="single" w:sz="6" w:color="CDD6DF"/>
          <w:right w:val="single" w:sz="6" w:color="CDD6DF"/>
          <w:insideH w:val="single" w:sz="6" w:color="CDD6DF"/>
          <w:insideV w:val="single" w:sz="6" w:color="CDD6DF"/>
        </w:tblBorders>
      </w:tblPr>
      <w:tblGrid>
        <w:gridCol w:w="1000"/>
        <w:gridCol w:w="7200"/>
        <w:gridCol w:w="1160"/>
      </w:tblGrid>
      <w:tr>
        <w:trPr>
          <w:cantSplit/>
          <w:tblHeader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ID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Given / When / Then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Priority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DX-01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Given 新 workspace，When 选择 AI API 模板，Then 10 分钟内以运行示例完成首笔 sandbox transaction，并能打开 trace。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DX-02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Dashboard、manifest、API 对同一 Item/Offer round-trip，不产生隐藏字段；每次发布有 diff/hash/version。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DX-03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SDK/CLI 对所有 write 自动支持 idempotency、trace、typed errors；requires_action 不被自动重试吞掉。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CAT-01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Published CapabilityVersion/RateCardVersion 不可原地修改；breaking change 新 major；旧 order/task 可继续读取。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CAT-02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相同版本+usage+clock snapshot 的 rating 结果逐 charge line 完全一致；支持 replay。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CAT-03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Offer 发布前验证 schema、meter、currency/rounding、tax class、terms、delivery/evidence；失败保留 draft。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P0</w:t>
            </w:r>
          </w:p>
        </w:tc>
      </w:tr>
    </w:tbl>
    <w:p>
      <w:pPr>
        <w:spacing w:before="80" w:after="80"/>
      </w:pP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B. Authorization, Task &amp; Usage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6DF"/>
          <w:left w:val="single" w:sz="6" w:color="CDD6DF"/>
          <w:bottom w:val="single" w:sz="6" w:color="CDD6DF"/>
          <w:right w:val="single" w:sz="6" w:color="CDD6DF"/>
          <w:insideH w:val="single" w:sz="6" w:color="CDD6DF"/>
          <w:insideV w:val="single" w:sz="6" w:color="CDD6DF"/>
        </w:tblBorders>
      </w:tblPr>
      <w:tblGrid>
        <w:gridCol w:w="1000"/>
        <w:gridCol w:w="7200"/>
        <w:gridCol w:w="1160"/>
      </w:tblGrid>
      <w:tr>
        <w:trPr>
          <w:cantSplit/>
          <w:tblHeader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ID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Given / When / Then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Priority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AUTH-01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Given 有效 AgentIdentity/Mandate，When quote 在供应商、能力、用途、预算、时间和深度内，Then 决定 allow 且保存 policy snapshot。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AUTH-02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When 任一约束越界，Then 不执行不可逆工作，返回稳定 reason + 最小 step-up；无 silent overcharge。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AUTH-03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When mandate/identity revoke，Then 新交易实时拒绝；运行中任务按 policy pause/cancel/finish 并记录决定。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TASK-01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所有 Task 状态迁移遵循合法表；expected resource_version 防丢更新；重复命令返回原结果。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TASK-02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部分交付只 capture accepted units；未用 reservation 释放；timeline 显示 task/资金/税三种状态。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USE-01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UsageEvent 去重、量纲/状态/velocity/ceiling 验证；批量部分成功逐条返回；原事件不可改。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USE-02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晚到 usage 在窗口内重算，窗口外生成 adjustment/credit-debit note；closed invoice 不被覆盖。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EVD-01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Evidence 保存 digest/issuer/signature/claims/retention；默认无 prompt/full output；可生成最小争议证据包。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P0</w:t>
            </w:r>
          </w:p>
        </w:tc>
      </w:tr>
    </w:tbl>
    <w:p>
      <w:pPr>
        <w:spacing w:before="80" w:after="80"/>
      </w:pP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C. Payments, Tax &amp; Ledger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6DF"/>
          <w:left w:val="single" w:sz="6" w:color="CDD6DF"/>
          <w:bottom w:val="single" w:sz="6" w:color="CDD6DF"/>
          <w:right w:val="single" w:sz="6" w:color="CDD6DF"/>
          <w:insideH w:val="single" w:sz="6" w:color="CDD6DF"/>
          <w:insideV w:val="single" w:sz="6" w:color="CDD6DF"/>
        </w:tblBorders>
      </w:tblPr>
      <w:tblGrid>
        <w:gridCol w:w="1000"/>
        <w:gridCol w:w="7200"/>
        <w:gridCol w:w="1160"/>
      </w:tblGrid>
      <w:tr>
        <w:trPr>
          <w:cantSplit/>
          <w:tblHeader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ID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Given / When / Then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Priority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PAY-01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Capture 合计永不超过 payment authorization、reservation、quote max 与 mandate ceiling 的最小值，除非完成 step-up。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PAY-02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Provider timeout/重复 webhook/切 rail 时不重复扣款；unknown 状态先查询/对账，不盲目 retry capture。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TAX-01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每笔 sale 保存 supply class、location evidence、B2B/B2C、rate/reverse charge、provider/rule version 与 estimate/final snapshot。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TAX-02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Final tax 导致超 reserve 时仅 step-up、减量或取消；发票/贷项与 refund/adjustment 对应。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LED-01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每个 Money Ledger transaction 按 currency 借贷平衡；confirmed entry 不可修改/删除；更正用 reversal/adjustment。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LED-02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任意 Dashboard 金额可下钻到 postings、sale/task、provider refs；禁止手工覆盖余额。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REC-01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T+1 PSP/tax/bank/payout 对账；重复文件幂等；未解释差异为 0 才可关账。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SET-01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Payout 只使用 available balance；failed/reversed payout 不重复减少 seller balance；目的账户变更双批。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RFD-01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全额/部分 refund 产生 payment、commercial、tax 与 ledger adjustment，并可与 provider 结果对账。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P0</w:t>
            </w:r>
          </w:p>
        </w:tc>
      </w:tr>
    </w:tbl>
    <w:p>
      <w:pPr>
        <w:spacing w:before="80" w:after="80"/>
      </w:pP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D. Operations, Security &amp; Reliability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6DF"/>
          <w:left w:val="single" w:sz="6" w:color="CDD6DF"/>
          <w:bottom w:val="single" w:sz="6" w:color="CDD6DF"/>
          <w:right w:val="single" w:sz="6" w:color="CDD6DF"/>
          <w:insideH w:val="single" w:sz="6" w:color="CDD6DF"/>
          <w:insideV w:val="single" w:sz="6" w:color="CDD6DF"/>
        </w:tblBorders>
      </w:tblPr>
      <w:tblGrid>
        <w:gridCol w:w="1000"/>
        <w:gridCol w:w="7200"/>
        <w:gridCol w:w="1160"/>
      </w:tblGrid>
      <w:tr>
        <w:trPr>
          <w:cantSplit/>
          <w:tblHeader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ID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Given / When / Then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Priority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OPS-01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Action Inbox 显示影响金额、时限、owner、原因与安全动作；高额 risk release/refund/payout change 双人审批。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OBS-01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同一 trace_id 可从 protocol/API 到 task、provider、tax、ledger；敏感 payload 脱敏但保留 digest。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SEC-01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不存 PAN/CVV；生产 secret 不进入日志/URL/manifest；密钥可轮换；webhook 签名和 replay protection。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SEC-02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跨 tenant 数据/资金访问测试为 0 容忍；prompt 不可直接授权支付；budget/depth breaker 有 kill switch。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REL-01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Transaction API 99.95%；Money ledger strong consistency/RPO0；DR 演练达到 RTO≤60m。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REL-02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Quote p95&lt;300ms、mandate local p95&lt;200ms、usage p95&lt;150ms；99% webhook first attempt&lt;60s。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A11Y-01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核心 Dashboard/checkout 键盘可达、焦点清晰、状态非仅颜色、错误关联字段、图表有文本替代。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DOC-01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OpenAPI/JSON Schema、SDK、CLI、MCP tools 与示例均在 CI；breaking change 有版本与迁移指南。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P0</w:t>
            </w:r>
          </w:p>
        </w:tc>
      </w:tr>
    </w:tbl>
    <w:p>
      <w:pPr>
        <w:spacing w:before="80" w:after="80"/>
      </w:pPr>
    </w:p>
    <w:p>
      <w:pPr>
        <w:keepNext/>
        <w:keepLines w:val="0"/>
        <w:pageBreakBefore/>
        <w:spacing w:before="40" w:after="80"/>
        <w:widowControl/>
      </w:pPr>
      <w:r>
        <w:rPr>
          <w:rFonts w:ascii="Noto Sans SC" w:hAnsi="Noto Sans SC" w:eastAsia="Noto Sans SC" w:cs="Noto Sans SC"/>
          <w:b/>
          <w:i w:val="0"/>
          <w:color w:val="087E8B"/>
          <w:sz w:val="17"/>
        </w:rPr>
        <w:t>24 · RISKS &amp; DECISIONS</w:t>
      </w:r>
    </w:p>
    <w:p>
      <w:pPr>
        <w:pStyle w:val="Heading1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32"/>
        </w:rPr>
        <w:t>主要风险、缓解与开放决策</w:t>
      </w: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Top Risks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6DF"/>
          <w:left w:val="single" w:sz="6" w:color="CDD6DF"/>
          <w:bottom w:val="single" w:sz="6" w:color="CDD6DF"/>
          <w:right w:val="single" w:sz="6" w:color="CDD6DF"/>
          <w:insideH w:val="single" w:sz="6" w:color="CDD6DF"/>
          <w:insideV w:val="single" w:sz="6" w:color="CDD6DF"/>
        </w:tblBorders>
      </w:tblPr>
      <w:tblGrid>
        <w:gridCol w:w="2400"/>
        <w:gridCol w:w="1500"/>
        <w:gridCol w:w="2600"/>
        <w:gridCol w:w="2860"/>
      </w:tblGrid>
      <w:tr>
        <w:trPr>
          <w:cantSplit/>
          <w:tblHeader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4"/>
              </w:rPr>
              <w:t>风险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4"/>
              </w:rPr>
              <w:t>可能性 / 影响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4"/>
              </w:rPr>
              <w:t>早期信号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4"/>
              </w:rPr>
              <w:t>缓解 / Owner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市场过早：自主 Agent GMV 不足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高 / 高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协议流量低、human confirmation 占比长期高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以 AI API/SaaS MoR+usage 为收入 wedge；Agent primitives feature-flag · Product/GM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MoR 地区/品类覆盖受限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高 / 高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seller review rejection、税/消费者义务例外多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先限定数字服务/地区；实体/品类 capability matrix · Legal/Compliance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协议快速变化造成维护成本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高 / 中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breaking releases、伙伴实现分叉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canonical core + adapter conformance + version matrix · Protocol Eng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微交易单位经济不成立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中 / 高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rail/tax/support cost &gt; gross margin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credits/session/netting/minimum charge；按 1k calls 监控 · Finance/Product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用量/结果证据不足导致争议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中 / 高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supplier-only metrics、acceptance 模糊、dispute loss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evidence strength、buyer acknowledgment、分段 capture · Risk/Product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Agent 越权/循环支出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中 / 极高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velocity/depth/duplicate vendors 异常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short mandate、reservation、breakers、kill switch、no prompt→pay · Security/Risk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Tax/ledger 差异破坏信任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中 / 极高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T+1 variance、manual journal、invoice mismatch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decision snapshot、double entry、shadow rating、release gate · Finance/Tax/Eng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Dashboard 复杂度劝退当前用户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高 / 中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activation time、nav search、support questions 上升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4"/>
              </w:rPr>
              <w:t>goal-based IA、progressive disclosure、role views、templates · Design/Product</w:t>
            </w:r>
          </w:p>
        </w:tc>
      </w:tr>
    </w:tbl>
    <w:p>
      <w:pPr>
        <w:spacing w:before="80" w:after="80"/>
      </w:pP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开放决策日志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6DF"/>
          <w:left w:val="single" w:sz="6" w:color="CDD6DF"/>
          <w:bottom w:val="single" w:sz="6" w:color="CDD6DF"/>
          <w:right w:val="single" w:sz="6" w:color="CDD6DF"/>
          <w:insideH w:val="single" w:sz="6" w:color="CDD6DF"/>
          <w:insideV w:val="single" w:sz="6" w:color="CDD6DF"/>
        </w:tblBorders>
      </w:tblPr>
      <w:tblGrid>
        <w:gridCol w:w="800"/>
        <w:gridCol w:w="3300"/>
        <w:gridCol w:w="3820"/>
        <w:gridCol w:w="1440"/>
      </w:tblGrid>
      <w:tr>
        <w:trPr>
          <w:cantSplit/>
          <w:tblHeader w:val="true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ID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问题</w:t>
            </w:r>
          </w:p>
        </w:tc>
        <w:tc>
          <w:tcPr>
            <w:tcW w:type="dxa" w:w="3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推荐默认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Owner / 截止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OD-01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P0 首发 MoR entity 与 seller/buyer countries？</w:t>
            </w:r>
          </w:p>
        </w:tc>
        <w:tc>
          <w:tcPr>
            <w:tcW w:type="dxa" w:w="38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限定 1–2 个实体、数字服务、明确 country matrix；不做“全球”模糊承诺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Legal/Tax · W2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OD-02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首发 PSP/税 provider 组合？</w:t>
            </w:r>
          </w:p>
        </w:tc>
        <w:tc>
          <w:tcPr>
            <w:tcW w:type="dxa" w:w="382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双抽象、单主 provider + 可替换备份；不因多 provider 延迟 P0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Payments/Tax Eng · W2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OD-03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x402 beta 作为 pay-per-call 还是余额充值？</w:t>
            </w:r>
          </w:p>
        </w:tc>
        <w:tc>
          <w:tcPr>
            <w:tcW w:type="dxa" w:w="38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先支持 quote-linked balance/session，再评估逐调用；控制税/对账成本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Product/Finance · W6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OD-04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Outcome pricing 的 acceptance authority？</w:t>
            </w:r>
          </w:p>
        </w:tc>
        <w:tc>
          <w:tcPr>
            <w:tcW w:type="dxa" w:w="382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P0 不 GA；P1 仅可验证 milestone + buyer acknowledgment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Product/Risk · P1 RFC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OD-05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Evidence 默认 retention？</w:t>
            </w:r>
          </w:p>
        </w:tc>
        <w:tc>
          <w:tcPr>
            <w:tcW w:type="dxa" w:w="38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metadata/digest 长期按法定要求；payload URI 短期、区域化、case legal hold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Privacy/Legal · W6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OD-06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Agent identity trust providers？</w:t>
            </w:r>
          </w:p>
        </w:tc>
        <w:tc>
          <w:tcPr>
            <w:tcW w:type="dxa" w:w="382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先 workload identity + first-party registration；第三方 attestation adapter 化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Security · W8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OD-07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多 seller/platform 的 MoR 责任腿？</w:t>
            </w:r>
          </w:p>
        </w:tc>
        <w:tc>
          <w:tcPr>
            <w:tcW w:type="dxa" w:w="38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P0 一 task/one supplier/one sale；platform split 仅在明确合同与账本模型下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Legal/Finance · W10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OD-08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品牌与产品命名？</w:t>
            </w:r>
          </w:p>
        </w:tc>
        <w:tc>
          <w:tcPr>
            <w:tcW w:type="dxa" w:w="382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外部：Programmable MoR；内部模块：Commerce Runtime / Finance OS / Agent Trust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GM/Marketing · W4</w:t>
            </w:r>
          </w:p>
        </w:tc>
      </w:tr>
    </w:tbl>
    <w:p>
      <w:pPr>
        <w:spacing w:before="80" w:after="80"/>
      </w:pP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最终建议</w:t>
      </w:r>
    </w:p>
    <w:p>
      <w:pPr>
        <w:spacing w:before="100" w:after="200" w:line="276" w:lineRule="auto"/>
        <w:shd w:fill="E8F5F5"/>
        <w:keepNext w:val="0"/>
        <w:keepLines/>
        <w:pBdr>
          <w:left w:val="single" w:sz="18" w:space="8" w:color="087E8B"/>
        </w:pBdr>
        <w:ind w:left="180" w:right="180"/>
        <w:widowControl/>
      </w:pPr>
      <w:r>
        <w:rPr>
          <w:rFonts w:ascii="Noto Sans SC" w:hAnsi="Noto Sans SC" w:eastAsia="Noto Sans SC" w:cs="Noto Sans SC"/>
          <w:b/>
          <w:i w:val="0"/>
          <w:color w:val="0B5963"/>
          <w:sz w:val="18"/>
        </w:rPr>
        <w:t xml:space="preserve">BUILD  </w:t>
      </w:r>
      <w:r>
        <w:rPr>
          <w:rFonts w:ascii="Noto Sans SC" w:hAnsi="Noto Sans SC" w:eastAsia="Noto Sans SC" w:cs="Noto Sans SC"/>
          <w:b w:val="0"/>
          <w:i w:val="0"/>
          <w:color w:val="102A43"/>
          <w:sz w:val="21"/>
        </w:rPr>
        <w:t>批准 P0：以 AI API/MCP 服务为 wedge，先交付 MoR + usage/credits + tax/ledger + developer platform；同时把 Principal、AgentIdentity、Mandate、Task、Evidence 作为不可见但真实的内核对象。协议以 adapter 方式分期接入，自主性按证据和风险逐级开放。</w:t>
      </w:r>
    </w:p>
    <w:p>
      <w:pPr>
        <w:keepNext/>
        <w:keepLines w:val="0"/>
        <w:pageBreakBefore/>
        <w:spacing w:before="40" w:after="80"/>
        <w:widowControl/>
      </w:pPr>
      <w:r>
        <w:rPr>
          <w:rFonts w:ascii="Noto Sans SC" w:hAnsi="Noto Sans SC" w:eastAsia="Noto Sans SC" w:cs="Noto Sans SC"/>
          <w:b/>
          <w:i w:val="0"/>
          <w:color w:val="087E8B"/>
          <w:sz w:val="17"/>
        </w:rPr>
        <w:t>APPENDIX A</w:t>
      </w:r>
    </w:p>
    <w:p>
      <w:pPr>
        <w:pStyle w:val="Heading1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32"/>
        </w:rPr>
        <w:t>Developer Quick Reference</w:t>
      </w: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P0 MCP Tools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6DF"/>
          <w:left w:val="single" w:sz="6" w:color="CDD6DF"/>
          <w:bottom w:val="single" w:sz="6" w:color="CDD6DF"/>
          <w:right w:val="single" w:sz="6" w:color="CDD6DF"/>
          <w:insideH w:val="single" w:sz="6" w:color="CDD6DF"/>
          <w:insideV w:val="single" w:sz="6" w:color="CDD6DF"/>
        </w:tblBorders>
      </w:tblPr>
      <w:tblGrid>
        <w:gridCol w:w="2500"/>
        <w:gridCol w:w="3500"/>
        <w:gridCol w:w="3360"/>
      </w:tblGrid>
      <w:tr>
        <w:trPr>
          <w:cantSplit/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Tool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输入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5"/>
              </w:rPr>
              <w:t>输出 / Guard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mor.catalog.search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query、region、principal/agent context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capabilities/offers + versions；只返回可见/允许目录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mor.quote.create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offer、quantity estimate、tax context、purpose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all-in estimate/max、expiry、contract hash；未产生付款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mor.mandate.check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quote/task proposal、mandate ref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allow/deny/requires_action + reasons；不返回 secret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mor.balance.get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principal、currency/credit program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available/reserved/limits；按 scope 脱敏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mor.task.create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quote、mandate、input ref、idempotency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task/reservation/next action；高风险 requires human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mor.usage.report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task、meter events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per-event accepted/rejected；task-scoped scope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mor.task.deliver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task、output/evidence refs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delivery status/acceptance next step；schema/evidence validation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mor.receipt.get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task/sale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commercial/tax/payment receipt；principal/agent/supplier attribution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mor.refund.request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sale/charge line、amount/units、reason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5"/>
              </w:rPr>
              <w:t>case/refund status；阈值/权限/step-up</w:t>
            </w:r>
          </w:p>
        </w:tc>
      </w:tr>
    </w:tbl>
    <w:p>
      <w:pPr>
        <w:spacing w:before="80" w:after="80"/>
      </w:pPr>
    </w:p>
    <w:p>
      <w:pPr>
        <w:pStyle w:val="Heading2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26"/>
        </w:rPr>
        <w:t>Canonical Golden Path</w:t>
      </w:r>
    </w:p>
    <w:p>
      <w:pPr>
        <w:keepNext/>
        <w:keepLines w:val="0"/>
        <w:spacing w:after="60"/>
        <w:widowControl/>
      </w:pPr>
      <w:r>
        <w:rPr>
          <w:rFonts w:ascii="Noto Sans SC" w:hAnsi="Noto Sans SC" w:eastAsia="Noto Sans SC" w:cs="Noto Sans SC"/>
          <w:b/>
          <w:i w:val="0"/>
          <w:color w:val="52616B"/>
          <w:sz w:val="17"/>
        </w:rPr>
        <w:t>任何渠道都映射到该路径；不适用步骤可压缩，但不能绕过对应不变量。</w:t>
      </w:r>
    </w:p>
    <w:p>
      <w:pPr>
        <w:spacing w:after="160" w:line="240" w:lineRule="auto"/>
        <w:shd w:fill="F7F9FB"/>
        <w:keepNext w:val="0"/>
        <w:keepLines/>
        <w:pBdr>
          <w:left w:val="single" w:sz="18" w:space="8" w:color="8A9BA8"/>
        </w:pBdr>
        <w:ind w:left="180" w:right="180"/>
        <w:widowControl/>
      </w:pPr>
      <w:r>
        <w:rPr>
          <w:rFonts w:ascii="Liberation Mono" w:hAnsi="Liberation Mono" w:eastAsia="Liberation Mono" w:cs="Liberation Mono"/>
          <w:b w:val="0"/>
          <w:i w:val="0"/>
          <w:color w:val="263746"/>
          <w:sz w:val="15"/>
        </w:rPr>
        <w:t>discover(item/offer)</w:t>
        <w:br/>
        <w:t xml:space="preserve">  → quote.create(versioned offer, tax context)</w:t>
        <w:br/>
        <w:t xml:space="preserve">  → mandate.check(principal, agent, purpose, budget)</w:t>
        <w:br/>
        <w:t xml:space="preserve">  → task.create(idempotency_key)</w:t>
        <w:br/>
        <w:t xml:space="preserve">  → reservation.authorize()</w:t>
        <w:br/>
        <w:t xml:space="preserve">  → task.start()</w:t>
        <w:br/>
        <w:t xml:space="preserve">  → usage.report(batch)</w:t>
        <w:br/>
        <w:t xml:space="preserve">  → evidence.record() + task.deliver()</w:t>
        <w:br/>
        <w:t xml:space="preserve">  → acceptance.decide()</w:t>
        <w:br/>
        <w:t xml:space="preserve">  → task.finalize()</w:t>
        <w:br/>
        <w:t xml:space="preserve">  → invoice + receipt + balanced ledger + settlement</w:t>
      </w:r>
    </w:p>
    <w:p>
      <w:pPr>
        <w:keepNext/>
        <w:keepLines w:val="0"/>
        <w:pageBreakBefore/>
        <w:spacing w:before="40" w:after="80"/>
        <w:widowControl/>
      </w:pPr>
      <w:r>
        <w:rPr>
          <w:rFonts w:ascii="Noto Sans SC" w:hAnsi="Noto Sans SC" w:eastAsia="Noto Sans SC" w:cs="Noto Sans SC"/>
          <w:b/>
          <w:i w:val="0"/>
          <w:color w:val="087E8B"/>
          <w:sz w:val="17"/>
        </w:rPr>
        <w:t>APPENDIX B</w:t>
      </w:r>
    </w:p>
    <w:p>
      <w:pPr>
        <w:pStyle w:val="Heading1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32"/>
        </w:rPr>
        <w:t>术语表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6DF"/>
          <w:left w:val="single" w:sz="6" w:color="CDD6DF"/>
          <w:bottom w:val="single" w:sz="6" w:color="CDD6DF"/>
          <w:right w:val="single" w:sz="6" w:color="CDD6DF"/>
          <w:insideH w:val="single" w:sz="6" w:color="CDD6DF"/>
          <w:insideV w:val="single" w:sz="6" w:color="CDD6DF"/>
        </w:tblBorders>
      </w:tblPr>
      <w:tblGrid>
        <w:gridCol w:w="2500"/>
        <w:gridCol w:w="6860"/>
      </w:tblGrid>
      <w:tr>
        <w:trPr>
          <w:cantSplit/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术语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 w:cs="Noto Sans SC"/>
                <w:b/>
                <w:i w:val="0"/>
                <w:color w:val="1F4D78"/>
                <w:sz w:val="16"/>
              </w:rPr>
              <w:t>本规格定义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MoR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在特定交易路径中作为法律卖方/转售方，并承担收款、间接税、发票、退款/拒付与合规责任的实体。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Party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个人、企业或系统主体的通用记录；法律、税务、结算角色由关联 profile 表达。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Principal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授予 Agent 权限并承担经济与法律后果的人或企业。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Agent Provider / Instance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提供 Agent 软件/服务的主体，与一次可识别的具体运行实例。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Mandate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Principal 签发的可验证、细粒度、可撤销的行动授权；不同于支付工具授权。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Catalog Item / Capability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稳定的可售产品/服务身份；CapabilityVersion 固定机器可执行契约。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Offer / Rate Card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购买条件与版本化价格/计量规则的组合。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Quote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固定能力、价格、条款、税估计、证据规则与有效期的交易提议。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CommerceTask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机器可执行、可计量、可交付和验收的运行对象；不等同 Sale。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Evidence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证明身份、用量、交付、验收或争议事实的签名/摘要/声明与受控引用。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Sale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MoR 与 buyer 之间的法律/商业销售记录，含 charge lines、税和合同 hash。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Reservation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对资金、credits 或信用的临时预留；未 capture 不构成最终收款。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Three Ledgers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Usage/Evidence、Commercial 与 Money 三个相互关联但职责独立的账本。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Step-up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当金额、范围、风险或证据超过现有授权时，请求最小增量确认。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Agent-originated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Noto Sans SC" w:hAnsi="Noto Sans SC" w:eastAsia="Noto Sans SC" w:cs="Noto Sans SC"/>
                <w:b w:val="0"/>
                <w:i w:val="0"/>
                <w:color w:val="102A43"/>
                <w:sz w:val="16"/>
              </w:rPr>
              <w:t>由 Agent 发起或编排的交易来源标签；不改变 Principal 与 MoR 的责任判断。</w:t>
            </w:r>
          </w:p>
        </w:tc>
      </w:tr>
    </w:tbl>
    <w:p>
      <w:pPr>
        <w:spacing w:before="80" w:after="80"/>
      </w:pPr>
    </w:p>
    <w:p>
      <w:pPr>
        <w:keepNext/>
        <w:keepLines w:val="0"/>
        <w:pageBreakBefore/>
        <w:spacing w:before="40" w:after="80"/>
        <w:widowControl/>
      </w:pPr>
      <w:r>
        <w:rPr>
          <w:rFonts w:ascii="Noto Sans SC" w:hAnsi="Noto Sans SC" w:eastAsia="Noto Sans SC" w:cs="Noto Sans SC"/>
          <w:b/>
          <w:i w:val="0"/>
          <w:color w:val="087E8B"/>
          <w:sz w:val="17"/>
        </w:rPr>
        <w:t>APPENDIX C</w:t>
      </w:r>
    </w:p>
    <w:p>
      <w:pPr>
        <w:pStyle w:val="Heading1"/>
        <w:keepNext/>
        <w:keepLines/>
        <w:pageBreakBefore w:val="0"/>
        <w:widowControl/>
      </w:pPr>
      <w:r>
        <w:rPr>
          <w:rFonts w:ascii="Noto Sans SC" w:hAnsi="Noto Sans SC" w:eastAsia="Noto Sans SC" w:cs="Noto Sans SC"/>
          <w:b/>
          <w:i w:val="0"/>
          <w:color w:val="2E74B5"/>
          <w:sz w:val="32"/>
        </w:rPr>
        <w:t>主要一手资料</w:t>
      </w:r>
    </w:p>
    <w:p>
      <w:pPr>
        <w:keepNext w:val="0"/>
        <w:keepLines w:val="0"/>
        <w:spacing w:after="120"/>
        <w:jc w:val="left"/>
        <w:widowControl/>
      </w:pPr>
      <w:r>
        <w:rPr>
          <w:rFonts w:ascii="Noto Sans SC" w:hAnsi="Noto Sans SC" w:eastAsia="Noto Sans SC" w:cs="Noto Sans SC"/>
          <w:b w:val="0"/>
          <w:i w:val="0"/>
          <w:color w:val="52616B"/>
          <w:sz w:val="18"/>
        </w:rPr>
        <w:t>本规格优先使用官方产品文档、协议规范和标准资料。协议成熟度、可用地区、预览资格与定价会变化；上线前必须逐 provider、地区和交易路径核验。</w:t>
      </w:r>
    </w:p>
    <w:p>
      <w:pPr>
        <w:pStyle w:val="SourceNote"/>
        <w:keepNext w:val="0"/>
        <w:keepLines/>
        <w:ind w:left="144" w:hanging="144"/>
        <w:widowControl/>
      </w:pPr>
      <w:r>
        <w:rPr>
          <w:rFonts w:ascii="Noto Sans SC" w:hAnsi="Noto Sans SC" w:eastAsia="Noto Sans SC" w:cs="Noto Sans SC"/>
          <w:b/>
          <w:i w:val="0"/>
          <w:color w:val="0B5963"/>
          <w:sz w:val="15"/>
        </w:rPr>
        <w:t xml:space="preserve">[S1] </w:t>
      </w:r>
      <w:hyperlink r:id="rId18">
        <w:r>
          <w:rPr>
            <w:rFonts w:ascii="Noto Sans SC" w:hAnsi="Noto Sans SC" w:eastAsia="Noto Sans SC" w:cs="Noto Sans SC"/>
            <w:color w:val="2E74B5"/>
            <w:u w:val="single"/>
            <w:sz w:val="15"/>
          </w:rPr>
          <w:t>Polar｜Products</w:t>
        </w:r>
      </w:hyperlink>
      <w:r>
        <w:rPr>
          <w:rFonts w:ascii="Noto Sans SC" w:hAnsi="Noto Sans SC" w:eastAsia="Noto Sans SC" w:cs="Noto Sans SC"/>
          <w:b w:val="0"/>
          <w:i w:val="0"/>
          <w:color w:val="52616B"/>
          <w:sz w:val="15"/>
        </w:rPr>
        <w:t xml:space="preserve"> — 产品、价格与 benefits 的当前开发者心智。</w:t>
      </w:r>
    </w:p>
    <w:p>
      <w:pPr>
        <w:pStyle w:val="SourceNote"/>
        <w:keepNext w:val="0"/>
        <w:keepLines/>
        <w:ind w:left="144" w:hanging="144"/>
        <w:widowControl/>
      </w:pPr>
      <w:r>
        <w:rPr>
          <w:rFonts w:ascii="Noto Sans SC" w:hAnsi="Noto Sans SC" w:eastAsia="Noto Sans SC" w:cs="Noto Sans SC"/>
          <w:b/>
          <w:i w:val="0"/>
          <w:color w:val="0B5963"/>
          <w:sz w:val="15"/>
        </w:rPr>
        <w:t xml:space="preserve">[S2] </w:t>
      </w:r>
      <w:hyperlink r:id="rId19">
        <w:r>
          <w:rPr>
            <w:rFonts w:ascii="Noto Sans SC" w:hAnsi="Noto Sans SC" w:eastAsia="Noto Sans SC" w:cs="Noto Sans SC"/>
            <w:color w:val="2E74B5"/>
            <w:u w:val="single"/>
            <w:sz w:val="15"/>
          </w:rPr>
          <w:t>Polar｜Checkout Sessions</w:t>
        </w:r>
      </w:hyperlink>
      <w:r>
        <w:rPr>
          <w:rFonts w:ascii="Noto Sans SC" w:hAnsi="Noto Sans SC" w:eastAsia="Noto Sans SC" w:cs="Noto Sans SC"/>
          <w:b w:val="0"/>
          <w:i w:val="0"/>
          <w:color w:val="52616B"/>
          <w:sz w:val="15"/>
        </w:rPr>
        <w:t xml:space="preserve"> — Hosted/headless checkout session。</w:t>
      </w:r>
    </w:p>
    <w:p>
      <w:pPr>
        <w:pStyle w:val="SourceNote"/>
        <w:keepNext w:val="0"/>
        <w:keepLines/>
        <w:ind w:left="144" w:hanging="144"/>
        <w:widowControl/>
      </w:pPr>
      <w:r>
        <w:rPr>
          <w:rFonts w:ascii="Noto Sans SC" w:hAnsi="Noto Sans SC" w:eastAsia="Noto Sans SC" w:cs="Noto Sans SC"/>
          <w:b/>
          <w:i w:val="0"/>
          <w:color w:val="0B5963"/>
          <w:sz w:val="15"/>
        </w:rPr>
        <w:t xml:space="preserve">[S3] </w:t>
      </w:r>
      <w:hyperlink r:id="rId20">
        <w:r>
          <w:rPr>
            <w:rFonts w:ascii="Noto Sans SC" w:hAnsi="Noto Sans SC" w:eastAsia="Noto Sans SC" w:cs="Noto Sans SC"/>
            <w:color w:val="2E74B5"/>
            <w:u w:val="single"/>
            <w:sz w:val="15"/>
          </w:rPr>
          <w:t>Dodo Payments｜Usage-based Billing</w:t>
        </w:r>
      </w:hyperlink>
      <w:r>
        <w:rPr>
          <w:rFonts w:ascii="Noto Sans SC" w:hAnsi="Noto Sans SC" w:eastAsia="Noto Sans SC" w:cs="Noto Sans SC"/>
          <w:b w:val="0"/>
          <w:i w:val="0"/>
          <w:color w:val="52616B"/>
          <w:sz w:val="15"/>
        </w:rPr>
        <w:t xml:space="preserve"> — meters、usage 与订阅用量。</w:t>
      </w:r>
    </w:p>
    <w:p>
      <w:pPr>
        <w:pStyle w:val="SourceNote"/>
        <w:keepNext w:val="0"/>
        <w:keepLines/>
        <w:ind w:left="144" w:hanging="144"/>
        <w:widowControl/>
      </w:pPr>
      <w:r>
        <w:rPr>
          <w:rFonts w:ascii="Noto Sans SC" w:hAnsi="Noto Sans SC" w:eastAsia="Noto Sans SC" w:cs="Noto Sans SC"/>
          <w:b/>
          <w:i w:val="0"/>
          <w:color w:val="0B5963"/>
          <w:sz w:val="15"/>
        </w:rPr>
        <w:t xml:space="preserve">[S4] </w:t>
      </w:r>
      <w:hyperlink r:id="rId21">
        <w:r>
          <w:rPr>
            <w:rFonts w:ascii="Noto Sans SC" w:hAnsi="Noto Sans SC" w:eastAsia="Noto Sans SC" w:cs="Noto Sans SC"/>
            <w:color w:val="2E74B5"/>
            <w:u w:val="single"/>
            <w:sz w:val="15"/>
          </w:rPr>
          <w:t>Dodo Payments｜Credit-based Billing</w:t>
        </w:r>
      </w:hyperlink>
      <w:r>
        <w:rPr>
          <w:rFonts w:ascii="Noto Sans SC" w:hAnsi="Noto Sans SC" w:eastAsia="Noto Sans SC" w:cs="Noto Sans SC"/>
          <w:b w:val="0"/>
          <w:i w:val="0"/>
          <w:color w:val="52616B"/>
          <w:sz w:val="15"/>
        </w:rPr>
        <w:t xml:space="preserve"> — credits 计费模式。</w:t>
      </w:r>
    </w:p>
    <w:p>
      <w:pPr>
        <w:pStyle w:val="SourceNote"/>
        <w:keepNext w:val="0"/>
        <w:keepLines/>
        <w:ind w:left="144" w:hanging="144"/>
        <w:widowControl/>
      </w:pPr>
      <w:r>
        <w:rPr>
          <w:rFonts w:ascii="Noto Sans SC" w:hAnsi="Noto Sans SC" w:eastAsia="Noto Sans SC" w:cs="Noto Sans SC"/>
          <w:b/>
          <w:i w:val="0"/>
          <w:color w:val="0B5963"/>
          <w:sz w:val="15"/>
        </w:rPr>
        <w:t xml:space="preserve">[S5] </w:t>
      </w:r>
      <w:hyperlink r:id="rId22">
        <w:r>
          <w:rPr>
            <w:rFonts w:ascii="Noto Sans SC" w:hAnsi="Noto Sans SC" w:eastAsia="Noto Sans SC" w:cs="Noto Sans SC"/>
            <w:color w:val="2E74B5"/>
            <w:u w:val="single"/>
            <w:sz w:val="15"/>
          </w:rPr>
          <w:t>Creem｜API Reference</w:t>
        </w:r>
      </w:hyperlink>
      <w:r>
        <w:rPr>
          <w:rFonts w:ascii="Noto Sans SC" w:hAnsi="Noto Sans SC" w:eastAsia="Noto Sans SC" w:cs="Noto Sans SC"/>
          <w:b w:val="0"/>
          <w:i w:val="0"/>
          <w:color w:val="52616B"/>
          <w:sz w:val="15"/>
        </w:rPr>
        <w:t xml:space="preserve"> — 开发者 API 与 checkout。</w:t>
      </w:r>
    </w:p>
    <w:p>
      <w:pPr>
        <w:pStyle w:val="SourceNote"/>
        <w:keepNext w:val="0"/>
        <w:keepLines/>
        <w:ind w:left="144" w:hanging="144"/>
        <w:widowControl/>
      </w:pPr>
      <w:r>
        <w:rPr>
          <w:rFonts w:ascii="Noto Sans SC" w:hAnsi="Noto Sans SC" w:eastAsia="Noto Sans SC" w:cs="Noto Sans SC"/>
          <w:b/>
          <w:i w:val="0"/>
          <w:color w:val="0B5963"/>
          <w:sz w:val="15"/>
        </w:rPr>
        <w:t xml:space="preserve">[S6] </w:t>
      </w:r>
      <w:hyperlink r:id="rId23">
        <w:r>
          <w:rPr>
            <w:rFonts w:ascii="Noto Sans SC" w:hAnsi="Noto Sans SC" w:eastAsia="Noto Sans SC" w:cs="Noto Sans SC"/>
            <w:color w:val="2E74B5"/>
            <w:u w:val="single"/>
            <w:sz w:val="15"/>
          </w:rPr>
          <w:t>Creem｜AI Agents SDKs</w:t>
        </w:r>
      </w:hyperlink>
      <w:r>
        <w:rPr>
          <w:rFonts w:ascii="Noto Sans SC" w:hAnsi="Noto Sans SC" w:eastAsia="Noto Sans SC" w:cs="Noto Sans SC"/>
          <w:b w:val="0"/>
          <w:i w:val="0"/>
          <w:color w:val="52616B"/>
          <w:sz w:val="15"/>
        </w:rPr>
        <w:t xml:space="preserve"> — 现有 Agent 辅助集成形态。</w:t>
      </w:r>
    </w:p>
    <w:p>
      <w:pPr>
        <w:pStyle w:val="SourceNote"/>
        <w:keepNext w:val="0"/>
        <w:keepLines/>
        <w:ind w:left="144" w:hanging="144"/>
        <w:widowControl/>
      </w:pPr>
      <w:r>
        <w:rPr>
          <w:rFonts w:ascii="Noto Sans SC" w:hAnsi="Noto Sans SC" w:eastAsia="Noto Sans SC" w:cs="Noto Sans SC"/>
          <w:b/>
          <w:i w:val="0"/>
          <w:color w:val="0B5963"/>
          <w:sz w:val="15"/>
        </w:rPr>
        <w:t xml:space="preserve">[S7] </w:t>
      </w:r>
      <w:hyperlink r:id="rId24">
        <w:r>
          <w:rPr>
            <w:rFonts w:ascii="Noto Sans SC" w:hAnsi="Noto Sans SC" w:eastAsia="Noto Sans SC" w:cs="Noto Sans SC"/>
            <w:color w:val="2E74B5"/>
            <w:u w:val="single"/>
            <w:sz w:val="15"/>
          </w:rPr>
          <w:t>Model Context Protocol｜Specification 2025-11-25</w:t>
        </w:r>
      </w:hyperlink>
      <w:r>
        <w:rPr>
          <w:rFonts w:ascii="Noto Sans SC" w:hAnsi="Noto Sans SC" w:eastAsia="Noto Sans SC" w:cs="Noto Sans SC"/>
          <w:b w:val="0"/>
          <w:i w:val="0"/>
          <w:color w:val="52616B"/>
          <w:sz w:val="15"/>
        </w:rPr>
        <w:t xml:space="preserve"> — AI 应用连接 tools/resources 的协议。</w:t>
      </w:r>
    </w:p>
    <w:p>
      <w:pPr>
        <w:pStyle w:val="SourceNote"/>
        <w:keepNext w:val="0"/>
        <w:keepLines/>
        <w:ind w:left="144" w:hanging="144"/>
        <w:widowControl/>
      </w:pPr>
      <w:r>
        <w:rPr>
          <w:rFonts w:ascii="Noto Sans SC" w:hAnsi="Noto Sans SC" w:eastAsia="Noto Sans SC" w:cs="Noto Sans SC"/>
          <w:b/>
          <w:i w:val="0"/>
          <w:color w:val="0B5963"/>
          <w:sz w:val="15"/>
        </w:rPr>
        <w:t xml:space="preserve">[S8] </w:t>
      </w:r>
      <w:hyperlink r:id="rId25">
        <w:r>
          <w:rPr>
            <w:rFonts w:ascii="Noto Sans SC" w:hAnsi="Noto Sans SC" w:eastAsia="Noto Sans SC" w:cs="Noto Sans SC"/>
            <w:color w:val="2E74B5"/>
            <w:u w:val="single"/>
            <w:sz w:val="15"/>
          </w:rPr>
          <w:t>A2A Protocol｜v1.0 Announcement</w:t>
        </w:r>
      </w:hyperlink>
      <w:r>
        <w:rPr>
          <w:rFonts w:ascii="Noto Sans SC" w:hAnsi="Noto Sans SC" w:eastAsia="Noto Sans SC" w:cs="Noto Sans SC"/>
          <w:b w:val="0"/>
          <w:i w:val="0"/>
          <w:color w:val="52616B"/>
          <w:sz w:val="15"/>
        </w:rPr>
        <w:t xml:space="preserve"> — Agent 间协作与任务互操作。</w:t>
      </w:r>
    </w:p>
    <w:p>
      <w:pPr>
        <w:pStyle w:val="SourceNote"/>
        <w:keepNext w:val="0"/>
        <w:keepLines/>
        <w:ind w:left="144" w:hanging="144"/>
        <w:widowControl/>
      </w:pPr>
      <w:r>
        <w:rPr>
          <w:rFonts w:ascii="Noto Sans SC" w:hAnsi="Noto Sans SC" w:eastAsia="Noto Sans SC" w:cs="Noto Sans SC"/>
          <w:b/>
          <w:i w:val="0"/>
          <w:color w:val="0B5963"/>
          <w:sz w:val="15"/>
        </w:rPr>
        <w:t xml:space="preserve">[S9] </w:t>
      </w:r>
      <w:hyperlink r:id="rId26">
        <w:r>
          <w:rPr>
            <w:rFonts w:ascii="Noto Sans SC" w:hAnsi="Noto Sans SC" w:eastAsia="Noto Sans SC" w:cs="Noto Sans SC"/>
            <w:color w:val="2E74B5"/>
            <w:u w:val="single"/>
            <w:sz w:val="15"/>
          </w:rPr>
          <w:t>Universal Commerce Protocol｜Core Concepts</w:t>
        </w:r>
      </w:hyperlink>
      <w:r>
        <w:rPr>
          <w:rFonts w:ascii="Noto Sans SC" w:hAnsi="Noto Sans SC" w:eastAsia="Noto Sans SC" w:cs="Noto Sans SC"/>
          <w:b w:val="0"/>
          <w:i w:val="0"/>
          <w:color w:val="52616B"/>
          <w:sz w:val="15"/>
        </w:rPr>
        <w:t xml:space="preserve"> — 商业能力、checkout 与 order 的协议语义。</w:t>
      </w:r>
    </w:p>
    <w:p>
      <w:pPr>
        <w:pStyle w:val="SourceNote"/>
        <w:keepNext w:val="0"/>
        <w:keepLines/>
        <w:ind w:left="144" w:hanging="144"/>
        <w:widowControl/>
      </w:pPr>
      <w:r>
        <w:rPr>
          <w:rFonts w:ascii="Noto Sans SC" w:hAnsi="Noto Sans SC" w:eastAsia="Noto Sans SC" w:cs="Noto Sans SC"/>
          <w:b/>
          <w:i w:val="0"/>
          <w:color w:val="0B5963"/>
          <w:sz w:val="15"/>
        </w:rPr>
        <w:t xml:space="preserve">[S10] </w:t>
      </w:r>
      <w:hyperlink r:id="rId27">
        <w:r>
          <w:rPr>
            <w:rFonts w:ascii="Noto Sans SC" w:hAnsi="Noto Sans SC" w:eastAsia="Noto Sans SC" w:cs="Noto Sans SC"/>
            <w:color w:val="2E74B5"/>
            <w:u w:val="single"/>
            <w:sz w:val="15"/>
          </w:rPr>
          <w:t>Agent Payments Protocol｜AP2 Specification</w:t>
        </w:r>
      </w:hyperlink>
      <w:r>
        <w:rPr>
          <w:rFonts w:ascii="Noto Sans SC" w:hAnsi="Noto Sans SC" w:eastAsia="Noto Sans SC" w:cs="Noto Sans SC"/>
          <w:b w:val="0"/>
          <w:i w:val="0"/>
          <w:color w:val="52616B"/>
          <w:sz w:val="15"/>
        </w:rPr>
        <w:t xml:space="preserve"> — intent/checkout/payment mandates 与 receipts。</w:t>
      </w:r>
    </w:p>
    <w:p>
      <w:pPr>
        <w:pStyle w:val="SourceNote"/>
        <w:keepNext w:val="0"/>
        <w:keepLines/>
        <w:ind w:left="144" w:hanging="144"/>
        <w:widowControl/>
      </w:pPr>
      <w:r>
        <w:rPr>
          <w:rFonts w:ascii="Noto Sans SC" w:hAnsi="Noto Sans SC" w:eastAsia="Noto Sans SC" w:cs="Noto Sans SC"/>
          <w:b/>
          <w:i w:val="0"/>
          <w:color w:val="0B5963"/>
          <w:sz w:val="15"/>
        </w:rPr>
        <w:t xml:space="preserve">[S11] </w:t>
      </w:r>
      <w:hyperlink r:id="rId28">
        <w:r>
          <w:rPr>
            <w:rFonts w:ascii="Noto Sans SC" w:hAnsi="Noto Sans SC" w:eastAsia="Noto Sans SC" w:cs="Noto Sans SC"/>
            <w:color w:val="2E74B5"/>
            <w:u w:val="single"/>
            <w:sz w:val="15"/>
          </w:rPr>
          <w:t>Stripe｜Agentic Commerce</w:t>
        </w:r>
      </w:hyperlink>
      <w:r>
        <w:rPr>
          <w:rFonts w:ascii="Noto Sans SC" w:hAnsi="Noto Sans SC" w:eastAsia="Noto Sans SC" w:cs="Noto Sans SC"/>
          <w:b w:val="0"/>
          <w:i w:val="0"/>
          <w:color w:val="52616B"/>
          <w:sz w:val="15"/>
        </w:rPr>
        <w:t xml:space="preserve"> — agentic selling 与 machine payments 产品边界。</w:t>
      </w:r>
    </w:p>
    <w:p>
      <w:pPr>
        <w:pStyle w:val="SourceNote"/>
        <w:keepNext w:val="0"/>
        <w:keepLines/>
        <w:ind w:left="144" w:hanging="144"/>
        <w:widowControl/>
      </w:pPr>
      <w:r>
        <w:rPr>
          <w:rFonts w:ascii="Noto Sans SC" w:hAnsi="Noto Sans SC" w:eastAsia="Noto Sans SC" w:cs="Noto Sans SC"/>
          <w:b/>
          <w:i w:val="0"/>
          <w:color w:val="0B5963"/>
          <w:sz w:val="15"/>
        </w:rPr>
        <w:t xml:space="preserve">[S12] </w:t>
      </w:r>
      <w:hyperlink r:id="rId29">
        <w:r>
          <w:rPr>
            <w:rFonts w:ascii="Noto Sans SC" w:hAnsi="Noto Sans SC" w:eastAsia="Noto Sans SC" w:cs="Noto Sans SC"/>
            <w:color w:val="2E74B5"/>
            <w:u w:val="single"/>
            <w:sz w:val="15"/>
          </w:rPr>
          <w:t>Stripe｜Shared Payment Tokens</w:t>
        </w:r>
      </w:hyperlink>
      <w:r>
        <w:rPr>
          <w:rFonts w:ascii="Noto Sans SC" w:hAnsi="Noto Sans SC" w:eastAsia="Noto Sans SC" w:cs="Noto Sans SC"/>
          <w:b w:val="0"/>
          <w:i w:val="0"/>
          <w:color w:val="52616B"/>
          <w:sz w:val="15"/>
        </w:rPr>
        <w:t xml:space="preserve"> — 受限 seller/amount/expiry 的支付凭证。</w:t>
      </w:r>
    </w:p>
    <w:p>
      <w:pPr>
        <w:pStyle w:val="SourceNote"/>
        <w:keepNext w:val="0"/>
        <w:keepLines/>
        <w:ind w:left="144" w:hanging="144"/>
        <w:widowControl/>
      </w:pPr>
      <w:r>
        <w:rPr>
          <w:rFonts w:ascii="Noto Sans SC" w:hAnsi="Noto Sans SC" w:eastAsia="Noto Sans SC" w:cs="Noto Sans SC"/>
          <w:b/>
          <w:i w:val="0"/>
          <w:color w:val="0B5963"/>
          <w:sz w:val="15"/>
        </w:rPr>
        <w:t xml:space="preserve">[S13] </w:t>
      </w:r>
      <w:hyperlink r:id="rId30">
        <w:r>
          <w:rPr>
            <w:rFonts w:ascii="Noto Sans SC" w:hAnsi="Noto Sans SC" w:eastAsia="Noto Sans SC" w:cs="Noto Sans SC"/>
            <w:color w:val="2E74B5"/>
            <w:u w:val="single"/>
            <w:sz w:val="15"/>
          </w:rPr>
          <w:t>Stripe｜Machine Payments</w:t>
        </w:r>
      </w:hyperlink>
      <w:r>
        <w:rPr>
          <w:rFonts w:ascii="Noto Sans SC" w:hAnsi="Noto Sans SC" w:eastAsia="Noto Sans SC" w:cs="Noto Sans SC"/>
          <w:b w:val="0"/>
          <w:i w:val="0"/>
          <w:color w:val="52616B"/>
          <w:sz w:val="15"/>
        </w:rPr>
        <w:t xml:space="preserve"> — 机器支付集成方向。</w:t>
      </w:r>
    </w:p>
    <w:p>
      <w:pPr>
        <w:pStyle w:val="SourceNote"/>
        <w:keepNext w:val="0"/>
        <w:keepLines/>
        <w:ind w:left="144" w:hanging="144"/>
        <w:widowControl/>
      </w:pPr>
      <w:r>
        <w:rPr>
          <w:rFonts w:ascii="Noto Sans SC" w:hAnsi="Noto Sans SC" w:eastAsia="Noto Sans SC" w:cs="Noto Sans SC"/>
          <w:b/>
          <w:i w:val="0"/>
          <w:color w:val="0B5963"/>
          <w:sz w:val="15"/>
        </w:rPr>
        <w:t xml:space="preserve">[S14] </w:t>
      </w:r>
      <w:hyperlink r:id="rId31">
        <w:r>
          <w:rPr>
            <w:rFonts w:ascii="Noto Sans SC" w:hAnsi="Noto Sans SC" w:eastAsia="Noto Sans SC" w:cs="Noto Sans SC"/>
            <w:color w:val="2E74B5"/>
            <w:u w:val="single"/>
            <w:sz w:val="15"/>
          </w:rPr>
          <w:t>x402｜Official Site</w:t>
        </w:r>
      </w:hyperlink>
      <w:r>
        <w:rPr>
          <w:rFonts w:ascii="Noto Sans SC" w:hAnsi="Noto Sans SC" w:eastAsia="Noto Sans SC" w:cs="Noto Sans SC"/>
          <w:b w:val="0"/>
          <w:i w:val="0"/>
          <w:color w:val="52616B"/>
          <w:sz w:val="15"/>
        </w:rPr>
        <w:t xml:space="preserve"> — 基于 HTTP 402 的机器原生支付。</w:t>
      </w:r>
    </w:p>
    <w:p>
      <w:pPr>
        <w:pStyle w:val="SourceNote"/>
        <w:keepNext w:val="0"/>
        <w:keepLines/>
        <w:ind w:left="144" w:hanging="144"/>
        <w:widowControl/>
      </w:pPr>
      <w:r>
        <w:rPr>
          <w:rFonts w:ascii="Noto Sans SC" w:hAnsi="Noto Sans SC" w:eastAsia="Noto Sans SC" w:cs="Noto Sans SC"/>
          <w:b/>
          <w:i w:val="0"/>
          <w:color w:val="0B5963"/>
          <w:sz w:val="15"/>
        </w:rPr>
        <w:t xml:space="preserve">[S15] </w:t>
      </w:r>
      <w:hyperlink r:id="rId32">
        <w:r>
          <w:rPr>
            <w:rFonts w:ascii="Noto Sans SC" w:hAnsi="Noto Sans SC" w:eastAsia="Noto Sans SC" w:cs="Noto Sans SC"/>
            <w:color w:val="2E74B5"/>
            <w:u w:val="single"/>
            <w:sz w:val="15"/>
          </w:rPr>
          <w:t>Stripe｜Machine Payments Protocol</w:t>
        </w:r>
      </w:hyperlink>
      <w:r>
        <w:rPr>
          <w:rFonts w:ascii="Noto Sans SC" w:hAnsi="Noto Sans SC" w:eastAsia="Noto Sans SC" w:cs="Noto Sans SC"/>
          <w:b w:val="0"/>
          <w:i w:val="0"/>
          <w:color w:val="52616B"/>
          <w:sz w:val="15"/>
        </w:rPr>
        <w:t xml:space="preserve"> — charge/session 与多轨机器支付协议。</w:t>
      </w:r>
    </w:p>
    <w:p>
      <w:pPr>
        <w:pStyle w:val="SourceNote"/>
        <w:keepNext w:val="0"/>
        <w:keepLines/>
        <w:ind w:left="144" w:hanging="144"/>
        <w:widowControl/>
      </w:pPr>
      <w:r>
        <w:rPr>
          <w:rFonts w:ascii="Noto Sans SC" w:hAnsi="Noto Sans SC" w:eastAsia="Noto Sans SC" w:cs="Noto Sans SC"/>
          <w:b/>
          <w:i w:val="0"/>
          <w:color w:val="0B5963"/>
          <w:sz w:val="15"/>
        </w:rPr>
        <w:t xml:space="preserve">[S16] </w:t>
      </w:r>
      <w:hyperlink r:id="rId33">
        <w:r>
          <w:rPr>
            <w:rFonts w:ascii="Noto Sans SC" w:hAnsi="Noto Sans SC" w:eastAsia="Noto Sans SC" w:cs="Noto Sans SC"/>
            <w:color w:val="2E74B5"/>
            <w:u w:val="single"/>
            <w:sz w:val="15"/>
          </w:rPr>
          <w:t>Stripe｜Merchant of Record</w:t>
        </w:r>
      </w:hyperlink>
      <w:r>
        <w:rPr>
          <w:rFonts w:ascii="Noto Sans SC" w:hAnsi="Noto Sans SC" w:eastAsia="Noto Sans SC" w:cs="Noto Sans SC"/>
          <w:b w:val="0"/>
          <w:i w:val="0"/>
          <w:color w:val="52616B"/>
          <w:sz w:val="15"/>
        </w:rPr>
        <w:t xml:space="preserve"> — MoR 的法律卖方、支付、税与售后责任。</w:t>
      </w:r>
    </w:p>
    <w:p>
      <w:pPr>
        <w:pStyle w:val="SourceNote"/>
        <w:keepNext w:val="0"/>
        <w:keepLines/>
        <w:ind w:left="144" w:hanging="144"/>
        <w:widowControl/>
      </w:pPr>
      <w:r>
        <w:rPr>
          <w:rFonts w:ascii="Noto Sans SC" w:hAnsi="Noto Sans SC" w:eastAsia="Noto Sans SC" w:cs="Noto Sans SC"/>
          <w:b/>
          <w:i w:val="0"/>
          <w:color w:val="0B5963"/>
          <w:sz w:val="15"/>
        </w:rPr>
        <w:t xml:space="preserve">[S17] </w:t>
      </w:r>
      <w:hyperlink r:id="rId34">
        <w:r>
          <w:rPr>
            <w:rFonts w:ascii="Noto Sans SC" w:hAnsi="Noto Sans SC" w:eastAsia="Noto Sans SC" w:cs="Noto Sans SC"/>
            <w:color w:val="2E74B5"/>
            <w:u w:val="single"/>
            <w:sz w:val="15"/>
          </w:rPr>
          <w:t>OAuth Rich Authorization Requests｜RFC 9396</w:t>
        </w:r>
      </w:hyperlink>
      <w:r>
        <w:rPr>
          <w:rFonts w:ascii="Noto Sans SC" w:hAnsi="Noto Sans SC" w:eastAsia="Noto Sans SC" w:cs="Noto Sans SC"/>
          <w:b w:val="0"/>
          <w:i w:val="0"/>
          <w:color w:val="52616B"/>
          <w:sz w:val="15"/>
        </w:rPr>
        <w:t xml:space="preserve"> — 细粒度 authorization_details。</w:t>
      </w:r>
    </w:p>
    <w:p>
      <w:pPr>
        <w:pStyle w:val="SourceNote"/>
        <w:keepNext w:val="0"/>
        <w:keepLines/>
        <w:ind w:left="144" w:hanging="144"/>
        <w:widowControl/>
      </w:pPr>
      <w:r>
        <w:rPr>
          <w:rFonts w:ascii="Noto Sans SC" w:hAnsi="Noto Sans SC" w:eastAsia="Noto Sans SC" w:cs="Noto Sans SC"/>
          <w:b/>
          <w:i w:val="0"/>
          <w:color w:val="0B5963"/>
          <w:sz w:val="15"/>
        </w:rPr>
        <w:t xml:space="preserve">[S18] </w:t>
      </w:r>
      <w:hyperlink r:id="rId35">
        <w:r>
          <w:rPr>
            <w:rFonts w:ascii="Noto Sans SC" w:hAnsi="Noto Sans SC" w:eastAsia="Noto Sans SC" w:cs="Noto Sans SC"/>
            <w:color w:val="2E74B5"/>
            <w:u w:val="single"/>
            <w:sz w:val="15"/>
          </w:rPr>
          <w:t>OWASP｜AI Agent Security Cheat Sheet</w:t>
        </w:r>
      </w:hyperlink>
      <w:r>
        <w:rPr>
          <w:rFonts w:ascii="Noto Sans SC" w:hAnsi="Noto Sans SC" w:eastAsia="Noto Sans SC" w:cs="Noto Sans SC"/>
          <w:b w:val="0"/>
          <w:i w:val="0"/>
          <w:color w:val="52616B"/>
          <w:sz w:val="15"/>
        </w:rPr>
        <w:t xml:space="preserve"> — prompt injection、工具权限与 Agent 安全控制。</w:t>
      </w:r>
    </w:p>
    <w:p>
      <w:pPr>
        <w:pStyle w:val="SourceNote"/>
        <w:keepNext w:val="0"/>
        <w:keepLines/>
        <w:ind w:left="144" w:hanging="144"/>
        <w:widowControl/>
      </w:pPr>
      <w:r>
        <w:rPr>
          <w:rFonts w:ascii="Noto Sans SC" w:hAnsi="Noto Sans SC" w:eastAsia="Noto Sans SC" w:cs="Noto Sans SC"/>
          <w:b/>
          <w:i w:val="0"/>
          <w:color w:val="0B5963"/>
          <w:sz w:val="15"/>
        </w:rPr>
        <w:t xml:space="preserve">[S19] </w:t>
      </w:r>
      <w:hyperlink r:id="rId36">
        <w:r>
          <w:rPr>
            <w:rFonts w:ascii="Noto Sans SC" w:hAnsi="Noto Sans SC" w:eastAsia="Noto Sans SC" w:cs="Noto Sans SC"/>
            <w:color w:val="2E74B5"/>
            <w:u w:val="single"/>
            <w:sz w:val="15"/>
          </w:rPr>
          <w:t>OECD｜International VAT/GST Guidelines</w:t>
        </w:r>
      </w:hyperlink>
      <w:r>
        <w:rPr>
          <w:rFonts w:ascii="Noto Sans SC" w:hAnsi="Noto Sans SC" w:eastAsia="Noto Sans SC" w:cs="Noto Sans SC"/>
          <w:b w:val="0"/>
          <w:i w:val="0"/>
          <w:color w:val="52616B"/>
          <w:sz w:val="15"/>
        </w:rPr>
        <w:t xml:space="preserve"> — 跨境服务/无形资产的消费地税务原则。</w:t>
      </w:r>
    </w:p>
    <w:p>
      <w:pPr>
        <w:pStyle w:val="SourceNote"/>
        <w:keepNext w:val="0"/>
        <w:keepLines/>
        <w:ind w:left="144" w:hanging="144"/>
        <w:widowControl/>
      </w:pPr>
      <w:r>
        <w:rPr>
          <w:rFonts w:ascii="Noto Sans SC" w:hAnsi="Noto Sans SC" w:eastAsia="Noto Sans SC" w:cs="Noto Sans SC"/>
          <w:b/>
          <w:i w:val="0"/>
          <w:color w:val="0B5963"/>
          <w:sz w:val="15"/>
        </w:rPr>
        <w:t xml:space="preserve">[S20] </w:t>
      </w:r>
      <w:hyperlink r:id="rId37">
        <w:r>
          <w:rPr>
            <w:rFonts w:ascii="Noto Sans SC" w:hAnsi="Noto Sans SC" w:eastAsia="Noto Sans SC" w:cs="Noto Sans SC"/>
            <w:color w:val="2E74B5"/>
            <w:u w:val="single"/>
            <w:sz w:val="15"/>
          </w:rPr>
          <w:t>W3C｜Verifiable Credentials Data Model 2.0</w:t>
        </w:r>
      </w:hyperlink>
      <w:r>
        <w:rPr>
          <w:rFonts w:ascii="Noto Sans SC" w:hAnsi="Noto Sans SC" w:eastAsia="Noto Sans SC" w:cs="Noto Sans SC"/>
          <w:b w:val="0"/>
          <w:i w:val="0"/>
          <w:color w:val="52616B"/>
          <w:sz w:val="15"/>
        </w:rPr>
        <w:t xml:space="preserve"> — 可验证主体与属性声明的数据模型。</w:t>
      </w:r>
    </w:p>
    <w:p>
      <w:pPr>
        <w:keepNext w:val="0"/>
        <w:keepLines w:val="0"/>
        <w:spacing w:after="40"/>
        <w:jc w:val="left"/>
        <w:widowControl/>
      </w:pPr>
      <w:r>
        <w:rPr>
          <w:rFonts w:ascii="Noto Sans SC" w:hAnsi="Noto Sans SC" w:eastAsia="Noto Sans SC" w:cs="Noto Sans SC"/>
          <w:b w:val="0"/>
          <w:i w:val="0"/>
          <w:color w:val="52616B"/>
          <w:sz w:val="16"/>
        </w:rPr>
        <w:t>文档结束 · RFC v0.9 · 下一步：批准 P0 范围与 Decision D1–D5，随后进入对象/API RFC、设计原型与 W0 工程拆解。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Noto Sans SC" w:hAnsi="Noto Sans SC" w:eastAsia="Noto Sans SC" w:cs="Noto Sans SC"/>
        <w:b w:val="0"/>
        <w:i w:val="0"/>
        <w:color w:val="52616B"/>
        <w:sz w:val="16"/>
      </w:rPr>
      <w:t xml:space="preserve">CONFIDENTIAL · </w:t>
    </w:r>
    <w:r>
      <w:rPr>
        <w:rFonts w:ascii="Noto Sans SC" w:hAnsi="Noto Sans SC" w:eastAsia="Noto Sans SC" w:cs="Noto Sans SC"/>
        <w:b w:val="0"/>
        <w:i w:val="0"/>
        <w:color w:val="52616B"/>
        <w:sz w:val="17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/>
      <w:pBdr>
        <w:bottom w:val="single" w:sz="4" w:color="CDD6DF" w:space="6"/>
      </w:pBdr>
    </w:pPr>
    <w:r>
      <w:rPr>
        <w:rFonts w:ascii="Noto Sans SC" w:hAnsi="Noto Sans SC" w:eastAsia="Noto Sans SC" w:cs="Noto Sans SC"/>
        <w:b/>
        <w:i w:val="0"/>
        <w:color w:val="52616B"/>
        <w:sz w:val="16"/>
      </w:rPr>
      <w:t>PROGRAMMABLE MoR · PRODUCT SPEC</w:t>
    </w:r>
    <w:r>
      <w:rPr>
        <w:rFonts w:ascii="Noto Sans SC" w:hAnsi="Noto Sans SC" w:eastAsia="Noto Sans SC" w:cs="Noto Sans SC"/>
        <w:b w:val="0"/>
        <w:i w:val="0"/>
        <w:color w:val="52616B"/>
        <w:sz w:val="16"/>
      </w:rPr>
      <w:tab/>
      <w:t>RFC v0.9 · 2026.07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hybridMulti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  <w:rPr>
        <w:rFonts w:ascii="Noto Sans SC" w:hAnsi="Noto Sans SC" w:eastAsia="Noto Sans SC"/>
        <w:color w:val="087E8B"/>
      </w:rPr>
    </w:lvl>
    <w:lvl w:ilvl="1">
      <w:start w:val="1"/>
      <w:numFmt w:val="bullet"/>
      <w:lvlText w:val="•"/>
      <w:suff w:val="tab"/>
      <w:pPr>
        <w:tabs>
          <w:tab w:val="num" w:pos="810"/>
        </w:tabs>
        <w:ind w:left="810" w:hanging="270"/>
      </w:pPr>
      <w:rPr>
        <w:rFonts w:ascii="Noto Sans SC" w:hAnsi="Noto Sans SC" w:eastAsia="Noto Sans SC"/>
        <w:color w:val="087E8B"/>
      </w:rPr>
    </w:lvl>
    <w:lvl w:ilvl="2">
      <w:start w:val="1"/>
      <w:numFmt w:val="bullet"/>
      <w:lvlText w:val="•"/>
      <w:suff w:val="tab"/>
      <w:pPr>
        <w:tabs>
          <w:tab w:val="num" w:pos="1080"/>
        </w:tabs>
        <w:ind w:left="1080" w:hanging="270"/>
      </w:pPr>
      <w:rPr>
        <w:rFonts w:ascii="Noto Sans SC" w:hAnsi="Noto Sans SC" w:eastAsia="Noto Sans SC"/>
        <w:color w:val="087E8B"/>
      </w:rPr>
    </w:lvl>
  </w:abstractNum>
  <w:num w:numId="10">
    <w:abstractNumId w:val="9"/>
  </w:num>
  <w:abstractNum w:abstractNumId="10">
    <w:multiLevelType w:val="hybridMulti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  <w:rPr>
        <w:rFonts w:ascii="Noto Sans SC" w:hAnsi="Noto Sans SC" w:eastAsia="Noto Sans SC"/>
        <w:color w:val="2E74B5"/>
      </w:rPr>
    </w:lvl>
    <w:lvl w:ilvl="1">
      <w:start w:val="1"/>
      <w:numFmt w:val="decimal"/>
      <w:lvlText w:val="%2."/>
      <w:suff w:val="tab"/>
      <w:pPr>
        <w:tabs>
          <w:tab w:val="num" w:pos="810"/>
        </w:tabs>
        <w:ind w:left="810" w:hanging="270"/>
      </w:pPr>
      <w:rPr>
        <w:rFonts w:ascii="Noto Sans SC" w:hAnsi="Noto Sans SC" w:eastAsia="Noto Sans SC"/>
        <w:color w:val="2E74B5"/>
      </w:rPr>
    </w:lvl>
    <w:lvl w:ilvl="2">
      <w:start w:val="1"/>
      <w:numFmt w:val="decimal"/>
      <w:lvlText w:val="%3."/>
      <w:suff w:val="tab"/>
      <w:pPr>
        <w:tabs>
          <w:tab w:val="num" w:pos="1080"/>
        </w:tabs>
        <w:ind w:left="1080" w:hanging="270"/>
      </w:pPr>
      <w:rPr>
        <w:rFonts w:ascii="Noto Sans SC" w:hAnsi="Noto Sans SC" w:eastAsia="Noto Sans SC"/>
        <w:color w:val="2E74B5"/>
      </w:rPr>
    </w:lvl>
  </w:abstractNum>
  <w:num w:numId="11">
    <w:abstractNumId w:val="10"/>
  </w:num>
  <w:num w:numId="12">
    <w:abstractNumId w:val="10"/>
    <w:lvlOverride w:ilvl="0">
      <w:startOverride w:val="1"/>
    </w:lvlOverride>
  </w:num>
  <w:num w:numId="13">
    <w:abstractNumId w:val="10"/>
    <w:lvlOverride w:ilvl="0">
      <w:startOverride w:val="1"/>
    </w:lvlOverride>
  </w:num>
  <w:num w:numId="14">
    <w:abstractNumId w:val="10"/>
    <w:lvlOverride w:ilvl="0">
      <w:startOverride w:val="1"/>
    </w:lvlOverride>
  </w:num>
  <w:num w:numId="15">
    <w:abstractNumId w:val="10"/>
    <w:lvlOverride w:ilvl="0">
      <w:startOverride w:val="1"/>
    </w:lvlOverride>
  </w:num>
  <w:num w:numId="16">
    <w:abstractNumId w:val="10"/>
    <w:lvlOverride w:ilvl="0">
      <w:startOverride w:val="1"/>
    </w:lvlOverride>
  </w:num>
  <w:num w:numId="17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  <w:jc w:val="left"/>
    </w:pPr>
    <w:rPr>
      <w:rFonts w:ascii="Noto Sans SC" w:hAnsi="Noto Sans SC" w:eastAsia="Noto Sans SC" w:cs="Noto Sans SC"/>
      <w:b w:val="0"/>
      <w:color w:val="102A4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Noto Sans SC" w:hAnsi="Noto Sans SC" w:eastAsia="Noto Sans SC" w:cs="Noto Sans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Noto Sans SC" w:hAnsi="Noto Sans SC" w:eastAsia="Noto Sans SC" w:cs="Noto Sans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SC" w:hAnsi="Noto Sans SC" w:eastAsia="Noto Sans SC" w:cs="Noto Sans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Note">
    <w:name w:val="Source Note"/>
    <w:pPr>
      <w:spacing w:before="80" w:after="80" w:line="240" w:lineRule="auto"/>
    </w:pPr>
    <w:rPr>
      <w:rFonts w:ascii="Noto Sans SC" w:hAnsi="Noto Sans SC" w:eastAsia="Noto Sans SC" w:cs="Noto Sans SC"/>
      <w:b w:val="0"/>
      <w:color w:val="52616B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hyperlink" Target="https://polar.sh/docs/features/products" TargetMode="External"/><Relationship Id="rId19" Type="http://schemas.openxmlformats.org/officeDocument/2006/relationships/hyperlink" Target="https://polar.sh/docs/features/checkout/session" TargetMode="External"/><Relationship Id="rId20" Type="http://schemas.openxmlformats.org/officeDocument/2006/relationships/hyperlink" Target="https://docs.dodopayments.com/features/usage-based-billing/introduction" TargetMode="External"/><Relationship Id="rId21" Type="http://schemas.openxmlformats.org/officeDocument/2006/relationships/hyperlink" Target="https://docs.dodopayments.com/features/credit-based-billing" TargetMode="External"/><Relationship Id="rId22" Type="http://schemas.openxmlformats.org/officeDocument/2006/relationships/hyperlink" Target="https://docs.creem.io/api-reference/introduction" TargetMode="External"/><Relationship Id="rId23" Type="http://schemas.openxmlformats.org/officeDocument/2006/relationships/hyperlink" Target="https://docs.creem.io/code/sdks/ai-agents" TargetMode="External"/><Relationship Id="rId24" Type="http://schemas.openxmlformats.org/officeDocument/2006/relationships/hyperlink" Target="https://modelcontextprotocol.io/specification/2025-11-25" TargetMode="External"/><Relationship Id="rId25" Type="http://schemas.openxmlformats.org/officeDocument/2006/relationships/hyperlink" Target="https://a2a-protocol.org/latest/announcing-1.0/" TargetMode="External"/><Relationship Id="rId26" Type="http://schemas.openxmlformats.org/officeDocument/2006/relationships/hyperlink" Target="https://ucp.dev/documentation/core-concepts/" TargetMode="External"/><Relationship Id="rId27" Type="http://schemas.openxmlformats.org/officeDocument/2006/relationships/hyperlink" Target="https://ap2-protocol.org/ap2/specification/" TargetMode="External"/><Relationship Id="rId28" Type="http://schemas.openxmlformats.org/officeDocument/2006/relationships/hyperlink" Target="https://docs.stripe.com/agentic-commerce" TargetMode="External"/><Relationship Id="rId29" Type="http://schemas.openxmlformats.org/officeDocument/2006/relationships/hyperlink" Target="https://docs.stripe.com/agentic-commerce/concepts/shared-payment-tokens" TargetMode="External"/><Relationship Id="rId30" Type="http://schemas.openxmlformats.org/officeDocument/2006/relationships/hyperlink" Target="https://docs.stripe.com/payments/machine" TargetMode="External"/><Relationship Id="rId31" Type="http://schemas.openxmlformats.org/officeDocument/2006/relationships/hyperlink" Target="https://x402.org/" TargetMode="External"/><Relationship Id="rId32" Type="http://schemas.openxmlformats.org/officeDocument/2006/relationships/hyperlink" Target="https://stripe.com/blog/machine-payments-protocol" TargetMode="External"/><Relationship Id="rId33" Type="http://schemas.openxmlformats.org/officeDocument/2006/relationships/hyperlink" Target="https://stripe.com/resources/more/merchant-of-record" TargetMode="External"/><Relationship Id="rId34" Type="http://schemas.openxmlformats.org/officeDocument/2006/relationships/hyperlink" Target="https://www.rfc-editor.org/rfc/rfc9396" TargetMode="External"/><Relationship Id="rId35" Type="http://schemas.openxmlformats.org/officeDocument/2006/relationships/hyperlink" Target="https://cheatsheetseries.owasp.org/cheatsheets/AI_Agent_Security_Cheat_Sheet.html" TargetMode="External"/><Relationship Id="rId36" Type="http://schemas.openxmlformats.org/officeDocument/2006/relationships/hyperlink" Target="https://www.oecd.org/content/dam/oecd/en/publications/reports/2017/04/international-vat-gst-guidelines_g1g75db4/9789264271401-en.pdf" TargetMode="External"/><Relationship Id="rId37" Type="http://schemas.openxmlformats.org/officeDocument/2006/relationships/hyperlink" Target="https://www.w3.org/TR/vc-data-model-2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Programmable MoR for Developers &amp; Agents — Product Specification</dc:title>
  <dc:subject>AI 服务与 Agent 交易的 MoR、支付、计费、财务与税务产品规格</dc:subject>
  <dc:creator>Product / Engineering / Design / Finance / Risk / Compliance</dc:creator>
  <cp:keywords>MoR, AI agents, payments, billing, tax, ledger, developer experience</cp:keywords>
  <dc:description>RFC v0.9 · Build-ready baseline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