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595959"/>
          <w:sz w:val="22"/>
          <w:szCs w:val="22"/>
        </w:rPr>
        <w:t xml:space="preserve">T-ROC GLOBAL · AI-PARROT</w:t>
      </w:r>
    </w:p>
    <w:p>
      <w:pPr>
        <w:spacing w:after="0" w:before="80"/>
      </w:pPr>
      <w:r>
        <w:rPr>
          <w:rFonts w:ascii="Arial" w:cs="Arial" w:eastAsia="Arial" w:hAnsi="Arial"/>
          <w:b/>
          <w:bCs/>
          <w:color w:val="264653"/>
          <w:sz w:val="28"/>
          <w:szCs w:val="28"/>
        </w:rPr>
        <w:t xml:space="preserve">Documento Delta</w:t>
      </w:r>
    </w:p>
    <w:p>
      <w:pPr>
        <w:spacing w:after="0" w:before="240"/>
      </w:pPr>
      <w:r>
        <w:rPr>
          <w:rFonts w:ascii="Arial" w:cs="Arial" w:eastAsia="Arial" w:hAnsi="Arial"/>
          <w:b/>
          <w:bCs/>
          <w:color w:val="264653"/>
          <w:sz w:val="56"/>
          <w:szCs w:val="56"/>
        </w:rPr>
        <w:t xml:space="preserve">McKinsey vs. Código Real</w:t>
      </w:r>
    </w:p>
    <w:p>
      <w:pPr>
        <w:spacing w:after="0" w:before="200"/>
      </w:pPr>
      <w:r>
        <w:rPr>
          <w:rFonts w:ascii="Arial" w:cs="Arial" w:eastAsia="Arial" w:hAnsi="Arial"/>
          <w:color w:val="595959"/>
          <w:sz w:val="26"/>
          <w:szCs w:val="26"/>
        </w:rPr>
        <w:t xml:space="preserve">Contraste entre el análisis McKinsey y la base de código actual de AI-Parrot</w:t>
      </w:r>
    </w:p>
    <w:p>
      <w:pPr>
        <w:spacing w:after="0" w:before="600"/>
      </w:pPr>
      <w:r>
        <w:rPr>
          <w:rFonts w:ascii="Arial" w:cs="Arial" w:eastAsia="Arial" w:hAnsi="Arial"/>
          <w:color w:val="264653"/>
          <w:sz w:val="22"/>
          <w:szCs w:val="22"/>
        </w:rPr>
        <w:t xml:space="preserve">─────────────────────────────</w:t>
      </w:r>
    </w:p>
    <w:p>
      <w:pPr>
        <w:spacing w:after="0" w:before="200"/>
      </w:pPr>
      <w:r>
        <w:rPr>
          <w:rFonts w:ascii="Arial" w:cs="Arial" w:eastAsia="Arial" w:hAnsi="Arial"/>
          <w:color w:val="1F1F1F"/>
          <w:sz w:val="22"/>
          <w:szCs w:val="22"/>
        </w:rPr>
        <w:t xml:space="preserve">Reordena los 16 items McKinsey según la brecha real, con referencias al código, y propone un roadmap concreto de 3 a 6 meses.</w:t>
      </w:r>
    </w:p>
    <w:p>
      <w:pPr>
        <w:spacing w:after="0" w:before="600"/>
      </w:pPr>
      <w:r>
        <w:rPr>
          <w:rFonts w:ascii="Arial" w:cs="Arial" w:eastAsia="Arial" w:hAnsi="Arial"/>
          <w:color w:val="595959"/>
          <w:sz w:val="20"/>
          <w:szCs w:val="20"/>
        </w:rPr>
        <w:t xml:space="preserve">Abril 2026  ·  Confidencial — Uso Interno T-ROC Global</w:t>
      </w:r>
    </w:p>
    <w:p>
      <w:r>
        <w:br w:type="page"/>
      </w:r>
    </w:p>
    <w:p>
      <w:pPr>
        <w:pStyle w:val="Heading1"/>
        <w:spacing w:after="200" w:before="360"/>
      </w:pPr>
      <w:r>
        <w:rPr>
          <w:rFonts w:ascii="Arial" w:cs="Arial" w:eastAsia="Arial" w:hAnsi="Arial"/>
          <w:b/>
          <w:bCs/>
          <w:color w:val="264653"/>
          <w:sz w:val="36"/>
          <w:szCs w:val="36"/>
        </w:rPr>
        <w:t xml:space="preserve">1. Resumen Ejecutivo: La Conclusión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64653" w:sz="24"/>
              <w:bottom w:val="single" w:color="BFBFBF" w:sz="4"/>
              <w:right w:val="single" w:color="BFBFBF" w:sz="4"/>
            </w:tcBorders>
            <w:shd w:fill="E9EEF0" w:val="clear"/>
            <w:tcMar>
              <w:top w:type="dxa" w:w="160"/>
              <w:left w:type="dxa" w:w="200"/>
              <w:bottom w:type="dxa" w:w="160"/>
              <w:right w:type="dxa" w:w="200"/>
            </w:tcMar>
          </w:tcPr>
          <w:p>
            <w:pPr>
              <w:spacing w:after="80" w:before="0"/>
            </w:pPr>
            <w:r>
              <w:rPr>
                <w:rFonts w:ascii="Arial" w:cs="Arial" w:eastAsia="Arial" w:hAnsi="Arial"/>
                <w:b/>
                <w:bCs/>
                <w:color w:val="264653"/>
                <w:sz w:val="22"/>
                <w:szCs w:val="22"/>
              </w:rPr>
              <w:t xml:space="preserve">Hallazgo principal del cruce con el código</w:t>
            </w:r>
          </w:p>
          <w:p>
            <w:pPr>
              <w:spacing w:after="60" w:before="60"/>
            </w:pPr>
            <w:r>
              <w:rPr>
                <w:rFonts w:ascii="Arial" w:cs="Arial" w:eastAsia="Arial" w:hAnsi="Arial"/>
                <w:b/>
                <w:bCs/>
                <w:color w:val="1F1F1F"/>
                <w:sz w:val="22"/>
                <w:szCs w:val="22"/>
              </w:rPr>
              <w:t xml:space="preserve">El análisis McKinsey, escrito a nivel ejecutivo, subestima sistemáticamente lo que ya está construido en AI-Parrot. De los 16 items priorizados, solo 2 son brechas técnicas reales que requieren construcción desde cero. La mayoría son una de tres cosas: (a) configuración / autoría de YAML sobre motores ya existentes, (b) capas de agregación / dashboards sobre datos que ya se capturan, o (c) trabajo organizacional / UX fuera del scope del código.</w:t>
            </w:r>
          </w:p>
          <w:p>
            <w:pPr>
              <w:spacing w:after="60" w:before="60"/>
            </w:pPr>
            <w:r>
              <w:rPr>
                <w:rFonts w:ascii="Arial" w:cs="Arial" w:eastAsia="Arial" w:hAnsi="Arial"/>
                <w:b w:val="false"/>
                <w:bCs w:val="false"/>
                <w:color w:val="1F1F1F"/>
                <w:sz w:val="22"/>
                <w:szCs w:val="22"/>
              </w:rPr>
              <w:t xml:space="preserve">Esto comprime drásticamente el roadmap de 18 meses propuesto por McKinsey. Lo que parece un programa de transformación de 18 meses en realidad es un sprint de fundación de 3 meses sobre tres frentes técnicos concretos, más un track paralelo de gobernanza organizacional.</w:t>
            </w:r>
          </w:p>
        </w:tc>
      </w:tr>
    </w:tbl>
    <w:p>
      <w:pPr>
        <w:spacing w:after="120" w:before="0"/>
      </w:pPr>
      <w:r>
        <w:t xml:space="preserve"/>
      </w:r>
    </w:p>
    <w:p>
      <w:pPr>
        <w:pStyle w:val="Heading3"/>
        <w:spacing w:after="120" w:before="200"/>
      </w:pPr>
      <w:r>
        <w:rPr>
          <w:rFonts w:ascii="Arial" w:cs="Arial" w:eastAsia="Arial" w:hAnsi="Arial"/>
          <w:b/>
          <w:bCs/>
          <w:color w:val="264653"/>
          <w:sz w:val="24"/>
          <w:szCs w:val="24"/>
        </w:rPr>
        <w:t xml:space="preserve">Re-categorización por brecha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660"/>
        <w:gridCol w:w="1500"/>
      </w:tblGrid>
      <w:tr>
        <w:trPr>
          <w:tblHeader/>
        </w:trPr>
        <w:tc>
          <w:tcPr>
            <w:tcW w:type="dxa" w:w="24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Categoría</w:t>
            </w:r>
          </w:p>
        </w:tc>
        <w:tc>
          <w:tcPr>
            <w:tcW w:type="dxa" w:w="8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 Items</w:t>
            </w:r>
          </w:p>
        </w:tc>
        <w:tc>
          <w:tcPr>
            <w:tcW w:type="dxa" w:w="466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Items McKinsey</w:t>
            </w:r>
          </w:p>
        </w:tc>
        <w:tc>
          <w:tcPr>
            <w:tcW w:type="dxa" w:w="15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Esfuerzo real</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Brecha real (construir)</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2</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#3 Testing pre-deployment, partes de #5 dashboards de telemetría</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Sprint 1-3 meses</w:t>
            </w:r>
          </w:p>
        </w:tc>
      </w:tr>
      <w:tr>
        <w:trPr>
          <w:tblHeader w:val="false"/>
        </w:trPr>
        <w:tc>
          <w:tcPr>
            <w:tcW w:type="dxa" w:w="24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Activación (capa sobre primitivas existentes)</w:t>
            </w:r>
          </w:p>
        </w:tc>
        <w:tc>
          <w:tcPr>
            <w:tcW w:type="dxa" w:w="8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5</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#1 tier model, #2 capa medallion, #6 prompt registry, #10 routing optimizer, #16 fine-tuning pipeline</w:t>
            </w:r>
          </w:p>
        </w:tc>
        <w:tc>
          <w:tcPr>
            <w:tcW w:type="dxa" w:w="1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Sprint 2-4 meses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Configuración (YAML / dominio)</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1</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 Retail ontology (motor 100% construido)</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Sprint 1-2 semanas</w:t>
            </w:r>
          </w:p>
        </w:tc>
      </w:tr>
      <w:tr>
        <w:trPr>
          <w:tblHeader w:val="false"/>
        </w:trPr>
        <w:tc>
          <w:tcPr>
            <w:tcW w:type="dxa" w:w="24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Integración / cross-cutting</w:t>
            </w:r>
          </w:p>
        </w:tc>
        <w:tc>
          <w:tcPr>
            <w:tcW w:type="dxa" w:w="8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2</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#9 catálogo cross-agent, #11 operating model RACI</w:t>
            </w:r>
          </w:p>
        </w:tc>
        <w:tc>
          <w:tcPr>
            <w:tcW w:type="dxa" w:w="1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Sprint 1-2 meses</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UX / Frontend</w:t>
            </w:r>
          </w:p>
        </w:tc>
        <w:tc>
          <w:tcPr>
            <w:tcW w:type="dxa" w:w="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2</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#7 No-code builder, #12 DX polish</w:t>
            </w:r>
          </w:p>
        </w:tc>
        <w:tc>
          <w:tcPr>
            <w:tcW w:type="dxa" w:w="1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Track largo (nav-admin)</w:t>
            </w:r>
          </w:p>
        </w:tc>
      </w:tr>
      <w:tr>
        <w:trPr>
          <w:tblHeader w:val="false"/>
        </w:trPr>
        <w:tc>
          <w:tcPr>
            <w:tcW w:type="dxa" w:w="24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Externo al código (org / legal / UX)</w:t>
            </w:r>
          </w:p>
        </w:tc>
        <w:tc>
          <w:tcPr>
            <w:tcW w:type="dxa" w:w="8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color w:val="1F1F1F"/>
                <w:sz w:val="20"/>
                <w:szCs w:val="20"/>
              </w:rPr>
              <w:t xml:space="preserve">4</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#8 NEXUS UX, #13 adoption playbooks, #14 roadmap gov, #15 IP</w:t>
            </w:r>
          </w:p>
        </w:tc>
        <w:tc>
          <w:tcPr>
            <w:tcW w:type="dxa" w:w="1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Tracks paralelos</w:t>
            </w:r>
          </w:p>
        </w:tc>
      </w:tr>
    </w:tbl>
    <w:p>
      <w:pPr>
        <w:spacing w:after="120" w:before="0"/>
      </w:pPr>
      <w:r>
        <w:t xml:space="preserve"/>
      </w:r>
    </w:p>
    <w:p>
      <w:pPr>
        <w:spacing w:after="60" w:before="60"/>
      </w:pPr>
      <w:r>
        <w:rPr>
          <w:rFonts w:ascii="Arial" w:cs="Arial" w:eastAsia="Arial" w:hAnsi="Arial"/>
          <w:b/>
          <w:bCs/>
          <w:color w:val="1F1F1F"/>
          <w:sz w:val="22"/>
          <w:szCs w:val="22"/>
        </w:rPr>
        <w:t xml:space="preserve">Conclusión operativa:</w:t>
      </w:r>
    </w:p>
    <w:p>
      <w:pPr>
        <w:pStyle w:val="ListParagraph"/>
        <w:numPr>
          <w:ilvl w:val="0"/>
          <w:numId w:val="2"/>
        </w:numPr>
        <w:spacing w:after="40" w:before="40"/>
      </w:pPr>
      <w:r>
        <w:rPr>
          <w:rFonts w:ascii="Arial" w:cs="Arial" w:eastAsia="Arial" w:hAnsi="Arial"/>
          <w:color w:val="1F1F1F"/>
          <w:sz w:val="22"/>
          <w:szCs w:val="22"/>
        </w:rPr>
        <w:t xml:space="preserve">La narrativa estratégica con stakeholders e inversores debería ajustarse: AI-Parrot no necesita construir la mayoría de estos sistemas — los tiene. Necesita operacionalizarlos.</w:t>
      </w:r>
    </w:p>
    <w:p>
      <w:pPr>
        <w:pStyle w:val="ListParagraph"/>
        <w:numPr>
          <w:ilvl w:val="0"/>
          <w:numId w:val="2"/>
        </w:numPr>
        <w:spacing w:after="40" w:before="40"/>
      </w:pPr>
      <w:r>
        <w:rPr>
          <w:rFonts w:ascii="Arial" w:cs="Arial" w:eastAsia="Arial" w:hAnsi="Arial"/>
          <w:color w:val="1F1F1F"/>
          <w:sz w:val="22"/>
          <w:szCs w:val="22"/>
        </w:rPr>
        <w:t xml:space="preserve">El esfuerzo de ingeniería en los próximos 6 meses se concentra en 5-7 items técnicos específicos, no 16.</w:t>
      </w:r>
    </w:p>
    <w:p>
      <w:pPr>
        <w:pStyle w:val="ListParagraph"/>
        <w:numPr>
          <w:ilvl w:val="0"/>
          <w:numId w:val="2"/>
        </w:numPr>
        <w:spacing w:after="40" w:before="40"/>
      </w:pPr>
      <w:r>
        <w:rPr>
          <w:rFonts w:ascii="Arial" w:cs="Arial" w:eastAsia="Arial" w:hAnsi="Arial"/>
          <w:color w:val="1F1F1F"/>
          <w:sz w:val="22"/>
          <w:szCs w:val="22"/>
        </w:rPr>
        <w:t xml:space="preserve">El trabajo organizacional (#8, #11, #13, #14, #15) puede arrancar en paralelo sin bloquear ingeniería.</w:t>
      </w:r>
    </w:p>
    <w:p>
      <w:r>
        <w:br w:type="page"/>
      </w:r>
    </w:p>
    <w:p>
      <w:pPr>
        <w:pStyle w:val="Heading1"/>
        <w:spacing w:after="200" w:before="360"/>
      </w:pPr>
      <w:r>
        <w:rPr>
          <w:rFonts w:ascii="Arial" w:cs="Arial" w:eastAsia="Arial" w:hAnsi="Arial"/>
          <w:b/>
          <w:bCs/>
          <w:color w:val="264653"/>
          <w:sz w:val="36"/>
          <w:szCs w:val="36"/>
        </w:rPr>
        <w:t xml:space="preserve">2. Scorecard Delta: McKinsey vs. Código</w:t>
      </w:r>
    </w:p>
    <w:p>
      <w:pPr>
        <w:spacing w:after="60" w:before="60"/>
      </w:pPr>
      <w:r>
        <w:rPr>
          <w:rFonts w:ascii="Arial" w:cs="Arial" w:eastAsia="Arial" w:hAnsi="Arial"/>
          <w:b w:val="false"/>
          <w:bCs w:val="false"/>
          <w:color w:val="1F1F1F"/>
          <w:sz w:val="22"/>
          <w:szCs w:val="22"/>
        </w:rPr>
        <w:t xml:space="preserve">Tabla maestra contrastando cada uno de los 16 items McKinsey contra el estado real del código. Los íconos representan: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Resuelto</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Funcionalidad construida y operacional — McKinsey desconoce este código.</w:t>
            </w:r>
          </w:p>
        </w:tc>
      </w:tr>
      <w:tr>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Parcial</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Primitivas técnicas presentes; faltan capas de activación, agregación o configuración.</w:t>
            </w:r>
          </w:p>
        </w:tc>
      </w:tr>
      <w:tr>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Brecha real</w:t>
            </w:r>
          </w:p>
        </w:tc>
        <w:tc>
          <w:tcPr>
            <w:tcW w:type="dxa" w:w="82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Falta construir — McKinsey acierta en identificar la brecha.</w:t>
            </w:r>
          </w:p>
        </w:tc>
      </w:tr>
      <w:tr>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Config</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Motor construido; necesita autoría de YAML / dominio.</w:t>
            </w:r>
          </w:p>
        </w:tc>
      </w:tr>
      <w:tr>
        <w:tc>
          <w:tcPr>
            <w:tcW w:type="dxa" w:w="1100"/>
            <w:tcBorders>
              <w:top w:val="single" w:color="BFBFBF" w:sz="4"/>
              <w:left w:val="single" w:color="BFBFBF" w:sz="4"/>
              <w:bottom w:val="single" w:color="BFBFBF" w:sz="4"/>
              <w:right w:val="single" w:color="BFBFBF" w:sz="4"/>
            </w:tcBorders>
            <w:shd w:fill="7030A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Externo</w:t>
            </w:r>
          </w:p>
        </w:tc>
        <w:tc>
          <w:tcPr>
            <w:tcW w:type="dxa" w:w="826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Fuera del scope del código de Parrot — handed-off a otro equipo.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300"/>
        <w:gridCol w:w="1300"/>
        <w:gridCol w:w="3860"/>
      </w:tblGrid>
      <w:tr>
        <w:trPr>
          <w:tblHeader/>
        </w:trPr>
        <w:tc>
          <w:tcPr>
            <w:tcW w:type="dxa" w:w="6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w:t>
            </w:r>
          </w:p>
        </w:tc>
        <w:tc>
          <w:tcPr>
            <w:tcW w:type="dxa" w:w="23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Recomendación McKinsey</w:t>
            </w:r>
          </w:p>
        </w:tc>
        <w:tc>
          <w:tcPr>
            <w:tcW w:type="dxa" w:w="13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Rating McKinsey</w:t>
            </w:r>
          </w:p>
        </w:tc>
        <w:tc>
          <w:tcPr>
            <w:tcW w:type="dxa" w:w="13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Estado real</w:t>
            </w:r>
          </w:p>
        </w:tc>
        <w:tc>
          <w:tcPr>
            <w:tcW w:type="dxa" w:w="386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Resumen del delta</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Agent Authority Framework</w:t>
            </w:r>
          </w:p>
        </w:tc>
        <w:tc>
          <w:tcPr>
            <w:tcW w:type="dxa" w:w="13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AbstractPermissionResolver + PBACPermissionResolver + DecisionFlowNode con EscalationPolicy ya construidos. Falta: formalizar 3-tier model y empaquetar un "guardrail agent" reutilizable.</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2</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Medallion Data Architecture</w:t>
            </w:r>
          </w:p>
        </w:tc>
        <w:tc>
          <w:tcPr>
            <w:tcW w:type="dxa" w:w="13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DatasetManager con 10+ source types, cache TTL, schemas tipados ya funciona como Gold layer de facto. Falta: capas formales Bronze/Silver + streaming validation + quality scoring de outputs agente.</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Pre-Deployment Agentic Testing</w:t>
            </w:r>
          </w:p>
        </w:tc>
        <w:tc>
          <w:tcPr>
            <w:tcW w:type="dxa" w:w="13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13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Brecha real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BotConfigTestHandler ofrece test sessions, pero NO hay shadow mode contra data productiva, ni chaos testing del DAG, ni rollback automático basado en error rate. La única recomendación verdaderamente Critical sin atender.</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4</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OntoGraph RAG</w:t>
            </w:r>
          </w:p>
        </w:tc>
        <w:tc>
          <w:tcPr>
            <w:tcW w:type="dxa" w:w="13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13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Config</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Motor 100% construido: OntologyRAGMixin + OntologyGraphStore + OntologyIntentResolver + TenantOntologyManager + OntologyCache. McKinsey lo lista como future — es factualmente incorrecto. Solo falta autoría de ontologías YAML por dominio.</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Observability y Cost Tracking</w:t>
            </w:r>
          </w:p>
        </w:tc>
        <w:tc>
          <w:tcPr>
            <w:tcW w:type="dxa" w:w="13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CompletionUsage unifica tokens y cost across providers (OpenAI/Groq/Claude/OpenRouter). MetricAction emite metrics en cada nodo DAG. Falta: dashboard de cost attribution, regression detection automática, routing optimizer activo.</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6</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Semantic Versioning de Prompts</w:t>
            </w:r>
          </w:p>
        </w:tc>
        <w:tc>
          <w:tcPr>
            <w:tcW w:type="dxa" w:w="13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PromptConfig (YAML add/remove/customize) + PromptBuilder + PromptLayer + two-phase rendering ya existen. SDD pipeline versiona prompts en git. Falta: prompt registry centralizado con semver explícita, canary release, golden test sets.</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7</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No-Code Workflow Builder</w:t>
            </w:r>
          </w:p>
        </w:tc>
        <w:tc>
          <w:tcPr>
            <w:tcW w:type="dxa" w:w="13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13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Brecha real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YAML agent definitions existen pero requieren ingeniería. nav-admin (SvelteKit 5) en roadmap UI. Falta: canvas drag-and-drop, agent catalog para biz users, natural language workflow description.</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8</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Consumer Transparency (NEXUS)</w:t>
            </w:r>
          </w:p>
        </w:tc>
        <w:tc>
          <w:tcPr>
            <w:tcW w:type="dxa" w:w="13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1300"/>
            <w:tcBorders>
              <w:top w:val="single" w:color="BFBFBF" w:sz="4"/>
              <w:left w:val="single" w:color="BFBFBF" w:sz="4"/>
              <w:bottom w:val="single" w:color="BFBFBF" w:sz="4"/>
              <w:right w:val="single" w:color="BFBFBF" w:sz="4"/>
            </w:tcBorders>
            <w:shd w:fill="7030A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Externo</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Fuera del scope del código de Parrot — NEXUS es plataforma separada. Owner: equipo NEXUS + Legal.</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Data Product Layer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DatasetManager ES el catálogo: 10+ source types, REST API, DatasetInfo con metadata + usage guidance, cache TTL, session isolation. Falta: discovery cross-agent / cross-tenant, dashboards de SLA (freshness/completeness/accuracy).</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10</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Model Routing Optimizer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Vendor-agnostic factory con 300+ LLMs + dual-mode LLM en PandasAgent. CompletionUsage captura cost/latency por provider. Falta: task taxonomy, leaderboard cost-performance live, auto-routing basado en telemetría.</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Federated Operating Model</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Monorepo packages/ai-parrot + ai-parrot-tools + ai-parrot-loaders ya separa core de extensiones. Plugin system + AgentRegistry. SDD-autopilot funciona como production readiness gate. Falta: RACI matrix organizacional + SLA del review (5 días).</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12</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Developer SDK + Local Dev</w:t>
            </w:r>
          </w:p>
        </w:tc>
        <w:tc>
          <w:tcPr>
            <w:tcW w:type="dxa" w:w="13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Minor</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AI-Parrot library ES el SDK; uv workspaces; AgentRegistry decoradores; Ollama/vLLM para local LLM. Falta: Docker Compose stack formal, visual debugger UI, scaffold CLI unificado, cookbook documentado de patterns.</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Adoption Program</w:t>
            </w:r>
          </w:p>
        </w:tc>
        <w:tc>
          <w:tcPr>
            <w:tcW w:type="dxa" w:w="13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1300"/>
            <w:tcBorders>
              <w:top w:val="single" w:color="BFBFBF" w:sz="4"/>
              <w:left w:val="single" w:color="BFBFBF" w:sz="4"/>
              <w:bottom w:val="single" w:color="BFBFBF" w:sz="4"/>
              <w:right w:val="single" w:color="BFBFBF" w:sz="4"/>
            </w:tcBorders>
            <w:shd w:fill="7030A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Externo / 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EpisodicMemory + ReflectionEngine capturan outcomes y extraen lessons — la infra técnica para feedback loop está. Lo demás (playbooks, A/B field pilots, training UX) es organizacional.</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14</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Platform Roadmap Governance</w:t>
            </w:r>
          </w:p>
        </w:tc>
        <w:tc>
          <w:tcPr>
            <w:tcW w:type="dxa" w:w="13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SDD pipeline (sdd/proposals, sdd/specs, sdd/tasks) ES el roadmap interno. Falta: visibility externa, SLAs publicados, User Council formal.</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IP Protection</w:t>
            </w:r>
          </w:p>
        </w:tc>
        <w:tc>
          <w:tcPr>
            <w:tcW w:type="dxa" w:w="13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1300"/>
            <w:tcBorders>
              <w:top w:val="single" w:color="BFBFBF" w:sz="4"/>
              <w:left w:val="single" w:color="BFBFBF" w:sz="4"/>
              <w:bottom w:val="single" w:color="BFBFBF" w:sz="4"/>
              <w:right w:val="single" w:color="BFBFBF" w:sz="4"/>
            </w:tcBorders>
            <w:shd w:fill="7030A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Externo</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Fuera del código — Legal + Engineering Leadership.</w:t>
            </w:r>
          </w:p>
        </w:tc>
      </w:tr>
      <w:tr>
        <w:tc>
          <w:tcPr>
            <w:tcW w:type="dxa" w:w="6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16</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19"/>
                <w:szCs w:val="19"/>
              </w:rPr>
              <w:t xml:space="preserve">Continuous Learning Loop</w:t>
            </w:r>
          </w:p>
        </w:tc>
        <w:tc>
          <w:tcPr>
            <w:tcW w:type="dxa" w:w="13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13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Parcial</w:t>
            </w:r>
          </w:p>
        </w:tc>
        <w:tc>
          <w:tcPr>
            <w:tcW w:type="dxa" w:w="3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EpisodicMemoryStore + UnifiedMemoryManager + ReflectionEngine + CrossDomainRouter + Skills auto-extraction están construidos. Falta: linkage a KPIs de negocio (no solo agent outcomes), fine-tuning pipeline desde episodes, dashboards mensuales de prompt performance.</w:t>
            </w:r>
          </w:p>
        </w:tc>
      </w:tr>
    </w:tbl>
    <w:p>
      <w:r>
        <w:br w:type="page"/>
      </w:r>
    </w:p>
    <w:p>
      <w:pPr>
        <w:pStyle w:val="Heading1"/>
        <w:spacing w:after="200" w:before="360"/>
      </w:pPr>
      <w:r>
        <w:rPr>
          <w:rFonts w:ascii="Arial" w:cs="Arial" w:eastAsia="Arial" w:hAnsi="Arial"/>
          <w:b/>
          <w:bCs/>
          <w:color w:val="264653"/>
          <w:sz w:val="36"/>
          <w:szCs w:val="36"/>
        </w:rPr>
        <w:t xml:space="preserve">3. Análisis Detallado por Recomendación</w:t>
      </w:r>
    </w:p>
    <w:p>
      <w:pPr>
        <w:spacing w:after="60" w:before="60"/>
      </w:pPr>
      <w:r>
        <w:rPr>
          <w:rFonts w:ascii="Arial" w:cs="Arial" w:eastAsia="Arial" w:hAnsi="Arial"/>
          <w:b w:val="false"/>
          <w:bCs w:val="false"/>
          <w:color w:val="1F1F1F"/>
          <w:sz w:val="22"/>
          <w:szCs w:val="22"/>
        </w:rPr>
        <w:t xml:space="preserve">Para cada item, esta sección muestra: lo que McKinsey identifica como brecha, lo que el código actual aporta (con referencias concretas a módulos), y el delta real que queda por trabajar. La numeración (#1–#16) mantiene la referencia al análisis McKinsey original.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Agent Authority Framework  </w:t>
            </w:r>
            <w:r>
              <w:rPr>
                <w:rFonts w:ascii="Arial" w:cs="Arial" w:eastAsia="Arial" w:hAnsi="Arial"/>
                <w:b w:val="false"/>
                <w:bCs w:val="false"/>
                <w:color w:val="595959"/>
                <w:sz w:val="18"/>
                <w:szCs w:val="18"/>
              </w:rPr>
              <w:t xml:space="preserve">[Governance]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permission manifests dominio-específicos, sin escalation triggers basados en confidence, sin guardrail agent pattern. Tratado como Critical.</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Framework de permisos de dos capas ya construido y operacional, con varios resolvers intercambiables y escalation modes: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parrot/auth/resolver.py — AbstractPermissionResolver ABC, DefaultPermissionResolver (RBAC + hierarchy + LRU cache), AllowAllResolver, DenyAllResolver, PBACPermissionResolver (Layer 2 via navigator-auth PolicyEvaluator)</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parrot/auth/permission.py — PermissionContext con UserSession (user_id, tenant_id, roles), to_eval_context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parrot/handlers/agent.py — Guardian.filter_resources() Layer 1 + PBAC agent access check (HTTP 403 si denegado)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parrot/bots/flow/decision_node.py — DecisionFlowNode con DecisionMode (CIO, BALLOT, CONSENSUS), DecisionType (BINARY, APPROVAL, MULTI_CHOICE), EscalationPolicy, ApprovalDecision con APPROVE/REJECT/ESCALATE + confidence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AbstractTool.execute() — Layer 2 reactive check con can_execute() por tool call</w:t>
            </w:r>
          </w:p>
        </w:tc>
      </w:tr>
      <w:tr>
        <w:tc>
          <w:tcPr>
            <w:tcW w:type="dxa" w:w="11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BF8F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Formalizar el modelo de 3 tiers (T1 observe / T2 recommend / T3 autonomous) como atributo declarativo en YAML agent definitions — pequeño esfuerzo, refactor cosmético sobre _required_permissions existente</w:t>
            </w:r>
          </w:p>
          <w:p>
            <w:pPr>
              <w:pStyle w:val="ListParagraph"/>
              <w:numPr>
                <w:ilvl w:val="0"/>
                <w:numId w:val="2"/>
              </w:numPr>
              <w:spacing w:after="30" w:before="30"/>
            </w:pPr>
            <w:r>
              <w:rPr>
                <w:rFonts w:ascii="Arial" w:cs="Arial" w:eastAsia="Arial" w:hAnsi="Arial"/>
                <w:color w:val="1F1F1F"/>
                <w:sz w:val="20"/>
                <w:szCs w:val="20"/>
              </w:rPr>
              <w:t xml:space="preserve">Standarizar confidence-based escalation triggers como cross-cutting pattern (hoy vive solo dentro de DecisionFlowNode) — extender al ToolManager</w:t>
            </w:r>
          </w:p>
          <w:p>
            <w:pPr>
              <w:pStyle w:val="ListParagraph"/>
              <w:numPr>
                <w:ilvl w:val="0"/>
                <w:numId w:val="2"/>
              </w:numPr>
              <w:spacing w:after="30" w:before="30"/>
            </w:pPr>
            <w:r>
              <w:rPr>
                <w:rFonts w:ascii="Arial" w:cs="Arial" w:eastAsia="Arial" w:hAnsi="Arial"/>
                <w:color w:val="1F1F1F"/>
                <w:sz w:val="20"/>
                <w:szCs w:val="20"/>
              </w:rPr>
              <w:t xml:space="preserve">Empaquetar un GuardrailAgent reusable: agente lightweight que corre en paralelo y consume MetricAction events para chequear policy compliance — composable con primitivas existentes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BF8F00"/>
                <w:sz w:val="20"/>
                <w:szCs w:val="20"/>
              </w:rPr>
              <w:t xml:space="preserve">Major (no Critical) — la fundación está. Solo falta packaging.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#2</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Medallion Data Architecture  </w:t>
            </w:r>
            <w:r>
              <w:rPr>
                <w:rFonts w:ascii="Arial" w:cs="Arial" w:eastAsia="Arial" w:hAnsi="Arial"/>
                <w:b w:val="false"/>
                <w:bCs w:val="false"/>
                <w:color w:val="595959"/>
                <w:sz w:val="18"/>
                <w:szCs w:val="18"/>
              </w:rPr>
              <w:t xml:space="preserve">[Data Quality]</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medallion layers, sin validación upstream automatizada, sin AI gateway, sin quality governance para outputs agente. Tratado como Critical.</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DatasetManager funciona efectivamente como una Gold layer multi-source con catalog, cache y schemas tipados: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parrot/tools/dataset_manager/tool.py — DatasetManager (AbstractToolkit) con add/remove/activate/deactivate, get_metadata, column type categorization, NaN detection, usage_do/usage_dont, REST API CRUD</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parrot/tools/dataset_manager/sources/ — DataSource ABC + 10 implementaciones: InMemorySource, QuerySlugSource, MultiQuerySlugSource, SQLQuerySource, TableSource (con schema prefetch), AirtableSource, SmartsheetSource, IcebergSource, MongoSource, DeltaTableSource, CompositeDataSource (JoinSpec)</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parrot/tools/dataset_manager/computed.py — ComputedColumnDef para columnas post-materialization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parrot/handlers/datasets.py — REST endpoints PUT/PATCH/DELETE /datasets/{agent_id} con session-scoped DM cloning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Redis caching con REDIS_DATASET_URL y pyarrow snappy compression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PBAC + ToolManager filtering actúa como AI Gateway de facto para acceso a tools</w:t>
            </w:r>
          </w:p>
        </w:tc>
      </w:tr>
      <w:tr>
        <w:tc>
          <w:tcPr>
            <w:tcW w:type="dxa" w:w="11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ED7D31"/>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Capas formales Bronze (raw) + Silver (cleaning/validation/dedup) — hoy se asume que el source ya está limpio; añadir un Silver intermedio con schema enforcement</w:t>
            </w:r>
          </w:p>
          <w:p>
            <w:pPr>
              <w:pStyle w:val="ListParagraph"/>
              <w:numPr>
                <w:ilvl w:val="0"/>
                <w:numId w:val="2"/>
              </w:numPr>
              <w:spacing w:after="30" w:before="30"/>
            </w:pPr>
            <w:r>
              <w:rPr>
                <w:rFonts w:ascii="Arial" w:cs="Arial" w:eastAsia="Arial" w:hAnsi="Arial"/>
                <w:color w:val="1F1F1F"/>
                <w:sz w:val="20"/>
                <w:szCs w:val="20"/>
              </w:rPr>
              <w:t xml:space="preserve">Streaming validation framework: integrar Apache Griffin o equivalente para validaciones automáticas continuas sobre Kinesis (no batch)</w:t>
            </w:r>
          </w:p>
          <w:p>
            <w:pPr>
              <w:pStyle w:val="ListParagraph"/>
              <w:numPr>
                <w:ilvl w:val="0"/>
                <w:numId w:val="2"/>
              </w:numPr>
              <w:spacing w:after="30" w:before="30"/>
            </w:pPr>
            <w:r>
              <w:rPr>
                <w:rFonts w:ascii="Arial" w:cs="Arial" w:eastAsia="Arial" w:hAnsi="Arial"/>
                <w:color w:val="1F1F1F"/>
                <w:sz w:val="20"/>
                <w:szCs w:val="20"/>
              </w:rPr>
              <w:t xml:space="preserve">Quality scoring para outputs agente-generados: extender EpisodicMemory para taggear cada output con quality score + lineage</w:t>
            </w:r>
          </w:p>
          <w:p>
            <w:pPr>
              <w:pStyle w:val="ListParagraph"/>
              <w:numPr>
                <w:ilvl w:val="0"/>
                <w:numId w:val="2"/>
              </w:numPr>
              <w:spacing w:after="30" w:before="30"/>
            </w:pPr>
            <w:r>
              <w:rPr>
                <w:rFonts w:ascii="Arial" w:cs="Arial" w:eastAsia="Arial" w:hAnsi="Arial"/>
                <w:color w:val="1F1F1F"/>
                <w:sz w:val="20"/>
                <w:szCs w:val="20"/>
              </w:rPr>
              <w:t xml:space="preserve">Anomaly detection en streams antes de RAG ingestion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ED7D31"/>
                <w:sz w:val="20"/>
                <w:szCs w:val="20"/>
              </w:rPr>
              <w:t xml:space="preserve">High (no Critical) — primitivas robustas; falta capa de validación upstream.</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#3</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Pre-Deployment Agentic Testing Framework  </w:t>
            </w:r>
            <w:r>
              <w:rPr>
                <w:rFonts w:ascii="Arial" w:cs="Arial" w:eastAsia="Arial" w:hAnsi="Arial"/>
                <w:b w:val="false"/>
                <w:bCs w:val="false"/>
                <w:color w:val="595959"/>
                <w:sz w:val="18"/>
                <w:szCs w:val="18"/>
              </w:rPr>
              <w:t xml:space="preserve">[Governance / Safety]</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shadow mode, sin red-team methodology, sin chaos testing para DAG, sin automatic rollback protocols. Critical.</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Hay infraestructura de testing dev-mode pero NO production safety gate completo: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parrot/handlers/test_handler.py — BotConfigTestHandler con PUT/POST/DELETE /api/v1/agents/test/{agent_name} para test sessions efímeras (dev-mode)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.claude/agents/sdd-autopilot.md — pipeline sdd-worker → code-reviewer → qa-runner → PR review con gates file-based y state.json checkpointing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parrot/security/* — PromptInjectionDetector (pytector + regex fallback), SecurityEventLogger, FrameworkSanitizer</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parrot_tools/shell_tool/security.py — CommandSanitizer con 6 capas + SecurityPolicy (RESTRICTIVE/MODERATE/PERMISSIVE) + ValidationResult con risk_score + NEEDS_REVIEW</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AgentsFlow execution tracing con timing por nodo + checkpoint/resume via Redis</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Shadow mode formal: agentes corriendo contra data productiva PERO sin ejecutar acciones reales (logged only). Hoy el test handler usa data simulada. Esto es construcción genuina.</w:t>
            </w:r>
          </w:p>
          <w:p>
            <w:pPr>
              <w:pStyle w:val="ListParagraph"/>
              <w:numPr>
                <w:ilvl w:val="0"/>
                <w:numId w:val="2"/>
              </w:numPr>
              <w:spacing w:after="30" w:before="30"/>
            </w:pPr>
            <w:r>
              <w:rPr>
                <w:rFonts w:ascii="Arial" w:cs="Arial" w:eastAsia="Arial" w:hAnsi="Arial"/>
                <w:color w:val="1F1F1F"/>
                <w:sz w:val="20"/>
                <w:szCs w:val="20"/>
              </w:rPr>
              <w:t xml:space="preserve">Red-team playbook sistemático: intentar exceder autoridad, malformed inputs, infinite loops, adversarial prompt chain attacks. Existe el SecurityEventLogger pero no la metodología.</w:t>
            </w:r>
          </w:p>
          <w:p>
            <w:pPr>
              <w:pStyle w:val="ListParagraph"/>
              <w:numPr>
                <w:ilvl w:val="0"/>
                <w:numId w:val="2"/>
              </w:numPr>
              <w:spacing w:after="30" w:before="30"/>
            </w:pPr>
            <w:r>
              <w:rPr>
                <w:rFonts w:ascii="Arial" w:cs="Arial" w:eastAsia="Arial" w:hAnsi="Arial"/>
                <w:color w:val="1F1F1F"/>
                <w:sz w:val="20"/>
                <w:szCs w:val="20"/>
              </w:rPr>
              <w:t xml:space="preserve">DAG chaos testing: inyectar aleatoriamente node failures, latency spikes, timeout errors. AgentsFlow tiene retry pero no chaos injection.</w:t>
            </w:r>
          </w:p>
          <w:p>
            <w:pPr>
              <w:pStyle w:val="ListParagraph"/>
              <w:numPr>
                <w:ilvl w:val="0"/>
                <w:numId w:val="2"/>
              </w:numPr>
              <w:spacing w:after="30" w:before="30"/>
            </w:pPr>
            <w:r>
              <w:rPr>
                <w:rFonts w:ascii="Arial" w:cs="Arial" w:eastAsia="Arial" w:hAnsi="Arial"/>
                <w:color w:val="1F1F1F"/>
                <w:sz w:val="20"/>
                <w:szCs w:val="20"/>
              </w:rPr>
              <w:t xml:space="preserve">Automatic rollback basado en error rate (e.g., 5% en 15min → pause + alert). No existe.</w:t>
            </w:r>
          </w:p>
          <w:p>
            <w:pPr>
              <w:pStyle w:val="ListParagraph"/>
              <w:numPr>
                <w:ilvl w:val="0"/>
                <w:numId w:val="2"/>
              </w:numPr>
              <w:spacing w:after="30" w:before="30"/>
            </w:pPr>
            <w:r>
              <w:rPr>
                <w:rFonts w:ascii="Arial" w:cs="Arial" w:eastAsia="Arial" w:hAnsi="Arial"/>
                <w:color w:val="1F1F1F"/>
                <w:sz w:val="20"/>
                <w:szCs w:val="20"/>
              </w:rPr>
              <w:t xml:space="preserve">Regression test library por workflow con I/O contracts como tests automatizados. Existe en qa-runner para código, no para outputs de agentes.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b/>
                <w:bCs/>
                <w:color w:val="C00000"/>
                <w:sz w:val="20"/>
                <w:szCs w:val="20"/>
              </w:rPr>
              <w:t xml:space="preserve">Critical (confirma McKinsey) — el único item Critical realmente sin atender.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#4</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OntoGraph RAG  </w:t>
            </w:r>
            <w:r>
              <w:rPr>
                <w:rFonts w:ascii="Arial" w:cs="Arial" w:eastAsia="Arial" w:hAnsi="Arial"/>
                <w:b w:val="false"/>
                <w:bCs w:val="false"/>
                <w:color w:val="595959"/>
                <w:sz w:val="18"/>
                <w:szCs w:val="18"/>
              </w:rPr>
              <w:t xml:space="preserve">[Architecture]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OntoGraph RAG listado como future. Sin retail ontology definida. Sin multi-hop query routing built. High.</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FACTUALMENTE INCORRECTO. El sistema está 100% construido en producción: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parrot/knowledge/ontology/mixin.py — OntologyRAGMixin: cooperative inheritance, hooks en ask() flow, 6-step pipeline (resolve tenant → resolve intent → cache check → graph traversal → post-action routing → cache write)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parrot/knowledge/ontology/graph_store.py — OntologyGraphStore: ArangoDB wrapper con tenant-isolated databases, vertex/edge collections per ontology, named graph creation, UpsertResult, execute_traversal con bind_vars + collection_binds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parrot/knowledge/ontology/intent.py — OntologyIntentResolver: fast path (trigger_intents keyword match) + LLM path</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parrot/knowledge/ontology/tenant.py — TenantOntologyManager: layered ontology resolution (base + domains + clients)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parrot/knowledge/ontology/cache.py — OntologyCache: Redis-backed, 24h TTL (ONTOLOGY_CACHE_TTL)</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parrot/knowledge/ontology/schema.py — OntologyDefinition, PropertyDef, RelationDef (con from/to aliases), DiscoveryRule, DiscoveryConfig, TraversalPattern con AQL query_template + post_action (vector_search / tool_call / none)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parrot/conf.py — ENABLE_ONTOLOGY_RAG, ONTOLOGY_BASE_FILE, ONTOLOGY_DOMAINS_DIR, ONTOLOGY_CLIENTS_DIR, ONTOLOGY_PGVECTOR_SCHEMA_TEMPLATE, ONTOLOGY_MAX_TRAVERSAL_DEPTH = 4 (security guardrail), ONTOLOGY_AQL_MODEL = gemini-2.5-flash</w:t>
            </w:r>
          </w:p>
        </w:tc>
      </w:tr>
      <w:tr>
        <w:tc>
          <w:tcPr>
            <w:tcW w:type="dxa" w:w="11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2E75B6"/>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Autoría de la base.ontology.yaml retail: entidades (product, location, brand, contract, field_rep, planogram, inventory_unit, promotion) con properties + relations + traversal_patterns. Esto es trabajo de YAML, no código.</w:t>
            </w:r>
          </w:p>
          <w:p>
            <w:pPr>
              <w:pStyle w:val="ListParagraph"/>
              <w:numPr>
                <w:ilvl w:val="0"/>
                <w:numId w:val="2"/>
              </w:numPr>
              <w:spacing w:after="30" w:before="30"/>
            </w:pPr>
            <w:r>
              <w:rPr>
                <w:rFonts w:ascii="Arial" w:cs="Arial" w:eastAsia="Arial" w:hAnsi="Arial"/>
                <w:color w:val="1F1F1F"/>
                <w:sz w:val="20"/>
                <w:szCs w:val="20"/>
              </w:rPr>
              <w:t xml:space="preserve">Autoría de domains/retail.ontology.yaml con extensions específicas</w:t>
            </w:r>
          </w:p>
          <w:p>
            <w:pPr>
              <w:pStyle w:val="ListParagraph"/>
              <w:numPr>
                <w:ilvl w:val="0"/>
                <w:numId w:val="2"/>
              </w:numPr>
              <w:spacing w:after="30" w:before="30"/>
            </w:pPr>
            <w:r>
              <w:rPr>
                <w:rFonts w:ascii="Arial" w:cs="Arial" w:eastAsia="Arial" w:hAnsi="Arial"/>
                <w:color w:val="1F1F1F"/>
                <w:sz w:val="20"/>
                <w:szCs w:val="20"/>
              </w:rPr>
              <w:t xml:space="preserve">Autoría de clients/&lt;brand&gt;.ontology.yaml para overrides cliente-específicos</w:t>
            </w:r>
          </w:p>
          <w:p>
            <w:pPr>
              <w:pStyle w:val="ListParagraph"/>
              <w:numPr>
                <w:ilvl w:val="0"/>
                <w:numId w:val="2"/>
              </w:numPr>
              <w:spacing w:after="30" w:before="30"/>
            </w:pPr>
            <w:r>
              <w:rPr>
                <w:rFonts w:ascii="Arial" w:cs="Arial" w:eastAsia="Arial" w:hAnsi="Arial"/>
                <w:color w:val="1F1F1F"/>
                <w:sz w:val="20"/>
                <w:szCs w:val="20"/>
              </w:rPr>
              <w:t xml:space="preserve">Habilitar ENABLE_ONTOLOGY_RAG=true en navconfig</w:t>
            </w:r>
          </w:p>
          <w:p>
            <w:pPr>
              <w:pStyle w:val="ListParagraph"/>
              <w:numPr>
                <w:ilvl w:val="0"/>
                <w:numId w:val="2"/>
              </w:numPr>
              <w:spacing w:after="30" w:before="30"/>
            </w:pPr>
            <w:r>
              <w:rPr>
                <w:rFonts w:ascii="Arial" w:cs="Arial" w:eastAsia="Arial" w:hAnsi="Arial"/>
                <w:color w:val="1F1F1F"/>
                <w:sz w:val="20"/>
                <w:szCs w:val="20"/>
              </w:rPr>
              <w:t xml:space="preserve">Smoke test del pipeline en un dataset retail real</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2E75B6"/>
                <w:sz w:val="20"/>
                <w:szCs w:val="20"/>
              </w:rPr>
              <w:t xml:space="preserve">Config — 1-2 sprints de YAML authoring. No es trabajo de ingeniería.</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#5</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Observability y Cost Tracking  </w:t>
            </w:r>
            <w:r>
              <w:rPr>
                <w:rFonts w:ascii="Arial" w:cs="Arial" w:eastAsia="Arial" w:hAnsi="Arial"/>
                <w:b w:val="false"/>
                <w:bCs w:val="false"/>
                <w:color w:val="595959"/>
                <w:sz w:val="18"/>
                <w:szCs w:val="18"/>
              </w:rPr>
              <w:t xml:space="preserve">[Architecture]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telemetry estructurada. Sin cost attribution por workflow/cliente. Sin regression detection. Sin routing optimizer. High.</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Datos crudos de telemetría SE CAPTURAN — falta la capa de agregación y dashboards: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parrot/models/basic.py — CompletionUsage unificado: prompt_tokens, completion_tokens, total_tokens, completion_time, prompt_time, queue_time, total_time, estimated_cost, extra_usage. Classmethods from_openai, from_groq, from_claude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parrot/models/openrouter.py — GenerationStats con total_cost (USD), provider_name, native_tokens_prompt/completion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parrot/models/vllm.py — BatchResult con total_tokens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parrot/bots/flow/actions.py — MetricAction(BaseAction) con config-driven metric emission por nodo DAG (interfaz Prometheus/StatsD-ready)</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AgentsFlow execution tracing por nodo con timing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parrot/security/logger.py — SecurityEventLogger con db_pool</w:t>
            </w:r>
          </w:p>
        </w:tc>
      </w:tr>
      <w:tr>
        <w:tc>
          <w:tcPr>
            <w:tcW w:type="dxa" w:w="11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BF8F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Agregador centralizado: pipeline que consume CompletionUsage events + MetricAction events y los enruta a un backend (Prometheus, ClickHouse, BigQuery)</w:t>
            </w:r>
          </w:p>
          <w:p>
            <w:pPr>
              <w:pStyle w:val="ListParagraph"/>
              <w:numPr>
                <w:ilvl w:val="0"/>
                <w:numId w:val="2"/>
              </w:numPr>
              <w:spacing w:after="30" w:before="30"/>
            </w:pPr>
            <w:r>
              <w:rPr>
                <w:rFonts w:ascii="Arial" w:cs="Arial" w:eastAsia="Arial" w:hAnsi="Arial"/>
                <w:color w:val="1F1F1F"/>
                <w:sz w:val="20"/>
                <w:szCs w:val="20"/>
              </w:rPr>
              <w:t xml:space="preserve">Dashboard de cost attribution por workflow, agent_type, client_account, model (frontend en nav-admin)</w:t>
            </w:r>
          </w:p>
          <w:p>
            <w:pPr>
              <w:pStyle w:val="ListParagraph"/>
              <w:numPr>
                <w:ilvl w:val="0"/>
                <w:numId w:val="2"/>
              </w:numPr>
              <w:spacing w:after="30" w:before="30"/>
            </w:pPr>
            <w:r>
              <w:rPr>
                <w:rFonts w:ascii="Arial" w:cs="Arial" w:eastAsia="Arial" w:hAnsi="Arial"/>
                <w:color w:val="1F1F1F"/>
                <w:sz w:val="20"/>
                <w:szCs w:val="20"/>
              </w:rPr>
              <w:t xml:space="preserve">Performance regression detection automática: comparar accuracy de cada modelo en task_type week-over-week, alertar sobre threshold</w:t>
            </w:r>
          </w:p>
          <w:p>
            <w:pPr>
              <w:pStyle w:val="ListParagraph"/>
              <w:numPr>
                <w:ilvl w:val="0"/>
                <w:numId w:val="2"/>
              </w:numPr>
              <w:spacing w:after="30" w:before="30"/>
            </w:pPr>
            <w:r>
              <w:rPr>
                <w:rFonts w:ascii="Arial" w:cs="Arial" w:eastAsia="Arial" w:hAnsi="Arial"/>
                <w:color w:val="1F1F1F"/>
                <w:sz w:val="20"/>
                <w:szCs w:val="20"/>
              </w:rPr>
              <w:t xml:space="preserve">Routing optimizer activo: usar histórica de CompletionUsage para auto-ajustar dispatch model→task (hoy es manual via dual-mode LLM en PandasAgent)</w:t>
            </w:r>
          </w:p>
          <w:p>
            <w:pPr>
              <w:pStyle w:val="ListParagraph"/>
              <w:numPr>
                <w:ilvl w:val="0"/>
                <w:numId w:val="2"/>
              </w:numPr>
              <w:spacing w:after="30" w:before="30"/>
            </w:pPr>
            <w:r>
              <w:rPr>
                <w:rFonts w:ascii="Arial" w:cs="Arial" w:eastAsia="Arial" w:hAnsi="Arial"/>
                <w:color w:val="1F1F1F"/>
                <w:sz w:val="20"/>
                <w:szCs w:val="20"/>
              </w:rPr>
              <w:t xml:space="preserve">Prompt drift tracking sobre golden test set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BF8F00"/>
                <w:sz w:val="20"/>
                <w:szCs w:val="20"/>
              </w:rPr>
              <w:t xml:space="preserve">High → Major. La data se captura; falta la capa de activación.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#6</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Semantic Versioning para Prompts  </w:t>
            </w:r>
            <w:r>
              <w:rPr>
                <w:rFonts w:ascii="Arial" w:cs="Arial" w:eastAsia="Arial" w:hAnsi="Arial"/>
                <w:b w:val="false"/>
                <w:bCs w:val="false"/>
                <w:color w:val="595959"/>
                <w:sz w:val="18"/>
                <w:szCs w:val="18"/>
              </w:rPr>
              <w:t xml:space="preserve">[Architecture]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prompt registry. Sin semantic versioning. Sin canary process. Sin regression tests para prompts. High.</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Prompts ya están versionados en git con declarative YAML override y two-phase rendering. Falta la capa de registry/canary:</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parrot/registry/registry.py — PromptConfig: YAML declarativo con add (domain layer name o inline dict) / remove / customize (override templates)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parrot/bots/prompts/layers.py — PromptLayer con name, priority (LayerPriority), phase (RenderPhase.CONFIGURE | RenderPhase.REQUEST), template, condition, required_vars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parrot/bots/prompts/domain_layers.py — get_domain_layer registry para layers de dominio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parrot/bots/abstract.py — Two-phase rendering: configure_context (static, resolved at configure()) + _build_prompt (dynamic, per-request)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parrot/models/infographic_templates.py — infographic_registry pattern (list, get, register) reusable como blueprint para prompt registry</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SDD pipeline — specs y tasks en git con commits, branches, worktree policy, sdd-tojira/sdd-fromjira para sync con Jira</w:t>
            </w:r>
          </w:p>
        </w:tc>
      </w:tr>
      <w:tr>
        <w:tc>
          <w:tcPr>
            <w:tcW w:type="dxa" w:w="11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BF8F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PromptRegistry centralizado: extender el pattern de infographic_registry para prompts productivos con semver explícita (1.2.3), changelog estructurado, performance benchmark snapshots, dependency graph downstream</w:t>
            </w:r>
          </w:p>
          <w:p>
            <w:pPr>
              <w:pStyle w:val="ListParagraph"/>
              <w:numPr>
                <w:ilvl w:val="0"/>
                <w:numId w:val="2"/>
              </w:numPr>
              <w:spacing w:after="30" w:before="30"/>
            </w:pPr>
            <w:r>
              <w:rPr>
                <w:rFonts w:ascii="Arial" w:cs="Arial" w:eastAsia="Arial" w:hAnsi="Arial"/>
                <w:color w:val="1F1F1F"/>
                <w:sz w:val="20"/>
                <w:szCs w:val="20"/>
              </w:rPr>
              <w:t xml:space="preserve">Canary release infra: routing de 5% del tráfico a nueva version, comparison automática con baseline, auto-promote/rollback</w:t>
            </w:r>
          </w:p>
          <w:p>
            <w:pPr>
              <w:pStyle w:val="ListParagraph"/>
              <w:numPr>
                <w:ilvl w:val="0"/>
                <w:numId w:val="2"/>
              </w:numPr>
              <w:spacing w:after="30" w:before="30"/>
            </w:pPr>
            <w:r>
              <w:rPr>
                <w:rFonts w:ascii="Arial" w:cs="Arial" w:eastAsia="Arial" w:hAnsi="Arial"/>
                <w:color w:val="1F1F1F"/>
                <w:sz w:val="20"/>
                <w:szCs w:val="20"/>
              </w:rPr>
              <w:t xml:space="preserve">Golden datasets per prompt + regression CI: extender qa-runner para correr tests sobre prompts, no solo código</w:t>
            </w:r>
          </w:p>
          <w:p>
            <w:pPr>
              <w:pStyle w:val="ListParagraph"/>
              <w:numPr>
                <w:ilvl w:val="0"/>
                <w:numId w:val="2"/>
              </w:numPr>
              <w:spacing w:after="30" w:before="30"/>
            </w:pPr>
            <w:r>
              <w:rPr>
                <w:rFonts w:ascii="Arial" w:cs="Arial" w:eastAsia="Arial" w:hAnsi="Arial"/>
                <w:color w:val="1F1F1F"/>
                <w:sz w:val="20"/>
                <w:szCs w:val="20"/>
              </w:rPr>
              <w:t xml:space="preserve">Prompt unit tests como artefacto de SDD task definition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BF8F00"/>
                <w:sz w:val="20"/>
                <w:szCs w:val="20"/>
              </w:rPr>
              <w:t xml:space="preserve">High → Major. YAML overlay + git workflow son una base sólida.</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#7</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No-Code Workflow Builder  </w:t>
            </w:r>
            <w:r>
              <w:rPr>
                <w:rFonts w:ascii="Arial" w:cs="Arial" w:eastAsia="Arial" w:hAnsi="Arial"/>
                <w:b w:val="false"/>
                <w:bCs w:val="false"/>
                <w:color w:val="595959"/>
                <w:sz w:val="18"/>
                <w:szCs w:val="18"/>
              </w:rPr>
              <w:t xml:space="preserve">[Developer Experience]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visual builder. Sin agent catalog para business users. Sin natural language description. High.</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YAML agent definitions + AgentsFlow DAG engine ofrecen la base de ejecución. Falta toda la capa de UI:</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parrot/registry/registry.py — Declarative YAML agent definitions parsed a AgentFactory</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parrot/manager.py — BotManager con agent lifecycle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parrot/bots/orchestration/crew.py — AgentCrew con run_sequential / run_parallel / run_flow / run_loop</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parrot/autonomous/orchestrator.py — AutonomousOrchestrator con triggers (scheduled, redis jobs, event bus, webhooks)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nav-admin frontend planeado (SvelteKit 5 + Tailwind 4 + daisyUI + SvelteFlow para visual workflow builder)</w:t>
            </w:r>
          </w:p>
        </w:tc>
      </w:tr>
      <w:tr>
        <w:tc>
          <w:tcPr>
            <w:tcW w:type="dxa" w:w="11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ED7D31"/>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Frontend canvas drag-and-drop (SvelteFlow ya identificado como librería)</w:t>
            </w:r>
          </w:p>
          <w:p>
            <w:pPr>
              <w:pStyle w:val="ListParagraph"/>
              <w:numPr>
                <w:ilvl w:val="0"/>
                <w:numId w:val="2"/>
              </w:numPr>
              <w:spacing w:after="30" w:before="30"/>
            </w:pPr>
            <w:r>
              <w:rPr>
                <w:rFonts w:ascii="Arial" w:cs="Arial" w:eastAsia="Arial" w:hAnsi="Arial"/>
                <w:color w:val="1F1F1F"/>
                <w:sz w:val="20"/>
                <w:szCs w:val="20"/>
              </w:rPr>
              <w:t xml:space="preserve">Agent catalog para biz users: API que expone nodos pre-certified con plain-language descriptions y permission requirements</w:t>
            </w:r>
          </w:p>
          <w:p>
            <w:pPr>
              <w:pStyle w:val="ListParagraph"/>
              <w:numPr>
                <w:ilvl w:val="0"/>
                <w:numId w:val="2"/>
              </w:numPr>
              <w:spacing w:after="30" w:before="30"/>
            </w:pPr>
            <w:r>
              <w:rPr>
                <w:rFonts w:ascii="Arial" w:cs="Arial" w:eastAsia="Arial" w:hAnsi="Arial"/>
                <w:color w:val="1F1F1F"/>
                <w:sz w:val="20"/>
                <w:szCs w:val="20"/>
              </w:rPr>
              <w:t xml:space="preserve">Natural language workflow description → DAG generation (existe el LLM pattern — falta pegarlo)</w:t>
            </w:r>
          </w:p>
          <w:p>
            <w:pPr>
              <w:pStyle w:val="ListParagraph"/>
              <w:numPr>
                <w:ilvl w:val="0"/>
                <w:numId w:val="2"/>
              </w:numPr>
              <w:spacing w:after="30" w:before="30"/>
            </w:pPr>
            <w:r>
              <w:rPr>
                <w:rFonts w:ascii="Arial" w:cs="Arial" w:eastAsia="Arial" w:hAnsi="Arial"/>
                <w:color w:val="1F1F1F"/>
                <w:sz w:val="20"/>
                <w:szCs w:val="20"/>
              </w:rPr>
              <w:t xml:space="preserve">Workflow sandbox env para validación pre-deploy</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ED7D31"/>
                <w:sz w:val="20"/>
                <w:szCs w:val="20"/>
              </w:rPr>
              <w:t xml:space="preserve">High (confirma McKinsey) — genuino trabajo frontend. Asignar a nav-admin.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#8</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Consumer Transparency Layer (NEXUS)  </w:t>
            </w:r>
            <w:r>
              <w:rPr>
                <w:rFonts w:ascii="Arial" w:cs="Arial" w:eastAsia="Arial" w:hAnsi="Arial"/>
                <w:b w:val="false"/>
                <w:bCs w:val="false"/>
                <w:color w:val="595959"/>
                <w:sz w:val="18"/>
                <w:szCs w:val="18"/>
              </w:rPr>
              <w:t xml:space="preserve">[Governance]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AI disclosure framework formal. Sin data consent flow. Sin confidence-based escalation. High.</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Fuera del scope del código de AI-Parrot. NEXUS es plataforma separada.</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AI-Parrot puede proveer confidence indicators (DecisionFlowNode con confidence float) si NEXUS los consume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EpisodicMemory puede registrar interacciones consumer-facing con retention policy si NEXUS lo integra</w:t>
            </w:r>
          </w:p>
        </w:tc>
      </w:tr>
      <w:tr>
        <w:tc>
          <w:tcPr>
            <w:tcW w:type="dxa" w:w="110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jc w:val="center"/>
            </w:pPr>
            <w:r>
              <w:rPr>
                <w:rFonts w:ascii="Arial" w:cs="Arial" w:eastAsia="Arial" w:hAnsi="Arial"/>
                <w:b/>
                <w:bCs/>
                <w:color w:val="7030A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Disclosure indicator y handoff UX → equipo NEXUS</w:t>
            </w:r>
          </w:p>
          <w:p>
            <w:pPr>
              <w:pStyle w:val="ListParagraph"/>
              <w:numPr>
                <w:ilvl w:val="0"/>
                <w:numId w:val="2"/>
              </w:numPr>
              <w:spacing w:after="30" w:before="30"/>
            </w:pPr>
            <w:r>
              <w:rPr>
                <w:rFonts w:ascii="Arial" w:cs="Arial" w:eastAsia="Arial" w:hAnsi="Arial"/>
                <w:color w:val="1F1F1F"/>
                <w:sz w:val="20"/>
                <w:szCs w:val="20"/>
              </w:rPr>
              <w:t xml:space="preserve">Data consent flow para zero-party data → equipo NEXUS + Legal</w:t>
            </w:r>
          </w:p>
          <w:p>
            <w:pPr>
              <w:pStyle w:val="ListParagraph"/>
              <w:numPr>
                <w:ilvl w:val="0"/>
                <w:numId w:val="2"/>
              </w:numPr>
              <w:spacing w:after="30" w:before="30"/>
            </w:pPr>
            <w:r>
              <w:rPr>
                <w:rFonts w:ascii="Arial" w:cs="Arial" w:eastAsia="Arial" w:hAnsi="Arial"/>
                <w:color w:val="1F1F1F"/>
                <w:sz w:val="20"/>
                <w:szCs w:val="20"/>
              </w:rPr>
              <w:t xml:space="preserve">Confidence-based escalation a human specialist como policy formal → coordinar entre NEXUS y Legal</w:t>
            </w:r>
          </w:p>
          <w:p>
            <w:pPr>
              <w:pStyle w:val="ListParagraph"/>
              <w:numPr>
                <w:ilvl w:val="0"/>
                <w:numId w:val="2"/>
              </w:numPr>
              <w:spacing w:after="30" w:before="30"/>
            </w:pPr>
            <w:r>
              <w:rPr>
                <w:rFonts w:ascii="Arial" w:cs="Arial" w:eastAsia="Arial" w:hAnsi="Arial"/>
                <w:color w:val="1F1F1F"/>
                <w:sz w:val="20"/>
                <w:szCs w:val="20"/>
              </w:rPr>
              <w:t xml:space="preserve">Retention policy + privacy framework compliance → Legal + Compliance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pPr>
            <w:r>
              <w:rPr>
                <w:rFonts w:ascii="Arial" w:cs="Arial" w:eastAsia="Arial" w:hAnsi="Arial"/>
                <w:b/>
                <w:bCs/>
                <w:color w:val="7030A0"/>
                <w:sz w:val="20"/>
                <w:szCs w:val="20"/>
              </w:rPr>
              <w:t xml:space="preserve">Externo al código. High prioridad pero owner es NEXUS team + Legal.</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#9</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Data Product Layer  </w:t>
            </w:r>
            <w:r>
              <w:rPr>
                <w:rFonts w:ascii="Arial" w:cs="Arial" w:eastAsia="Arial" w:hAnsi="Arial"/>
                <w:b w:val="false"/>
                <w:bCs w:val="false"/>
                <w:color w:val="595959"/>
                <w:sz w:val="18"/>
                <w:szCs w:val="18"/>
              </w:rPr>
              <w:t xml:space="preserve">[Data Quality]</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data product catalog formal. Sin product-level SLAs. Sin consumption tracking. Major.</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DatasetManager ya ES el data product catalog dentro de cada agente. Falta cross-agent discovery + SLA dashboards: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parrot/tools/dataset_manager/tool.py — DatasetInfo: name, alias, description, source_type, source_description (from source.describe()), columns, column_types, shape, loaded, memory_usage_mb, null_count, row_count_estimate, table_size_warning, cache_ttl, cache_key, usage_do, usage_dont, is_active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DatasetEntry con metadata, on_change callbacks, set_repl_locals_getter para sync con PythonPandasTool</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create_session_clone para session isolation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10 source types implementados (ver #2)</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REST API: GET / PUT / PATCH / DELETE en /datasets/{agent_id}</w:t>
            </w:r>
          </w:p>
        </w:tc>
      </w:tr>
      <w:tr>
        <w:tc>
          <w:tcPr>
            <w:tcW w:type="dxa" w:w="11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2E75B6"/>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Catálogo cross-agent / cross-tenant: hoy cada agente tiene su DatasetManager aislado. Falta un Catalog Service centralizado para discovery</w:t>
            </w:r>
          </w:p>
          <w:p>
            <w:pPr>
              <w:pStyle w:val="ListParagraph"/>
              <w:numPr>
                <w:ilvl w:val="0"/>
                <w:numId w:val="2"/>
              </w:numPr>
              <w:spacing w:after="30" w:before="30"/>
            </w:pPr>
            <w:r>
              <w:rPr>
                <w:rFonts w:ascii="Arial" w:cs="Arial" w:eastAsia="Arial" w:hAnsi="Arial"/>
                <w:color w:val="1F1F1F"/>
                <w:sz w:val="20"/>
                <w:szCs w:val="20"/>
              </w:rPr>
              <w:t xml:space="preserve">SLA dashboards: freshness (age of latest record), completeness (% expected records), accuracy (spot-check pass rate). Datos disponibles via DatasetInfo, falta UI/API agregador</w:t>
            </w:r>
          </w:p>
          <w:p>
            <w:pPr>
              <w:pStyle w:val="ListParagraph"/>
              <w:numPr>
                <w:ilvl w:val="0"/>
                <w:numId w:val="2"/>
              </w:numPr>
              <w:spacing w:after="30" w:before="30"/>
            </w:pPr>
            <w:r>
              <w:rPr>
                <w:rFonts w:ascii="Arial" w:cs="Arial" w:eastAsia="Arial" w:hAnsi="Arial"/>
                <w:color w:val="1F1F1F"/>
                <w:sz w:val="20"/>
                <w:szCs w:val="20"/>
              </w:rPr>
              <w:t xml:space="preserve">Consumption tracking: qué agentes / qué tools usan qué datasets. AgentsFlow tracing tiene los datos crudos, falta agregación</w:t>
            </w:r>
          </w:p>
          <w:p>
            <w:pPr>
              <w:pStyle w:val="ListParagraph"/>
              <w:numPr>
                <w:ilvl w:val="0"/>
                <w:numId w:val="2"/>
              </w:numPr>
              <w:spacing w:after="30" w:before="30"/>
            </w:pPr>
            <w:r>
              <w:rPr>
                <w:rFonts w:ascii="Arial" w:cs="Arial" w:eastAsia="Arial" w:hAnsi="Arial"/>
                <w:color w:val="1F1F1F"/>
                <w:sz w:val="20"/>
                <w:szCs w:val="20"/>
              </w:rPr>
              <w:t xml:space="preserve">Quality scoring formal a nivel data product (no solo dataset)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2E75B6"/>
                <w:sz w:val="20"/>
                <w:szCs w:val="20"/>
              </w:rPr>
              <w:t xml:space="preserve">Major → Configuration + Minor. Cross-cutting service + dashboards.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#10</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Intelligent Model Routing Optimizer  </w:t>
            </w:r>
            <w:r>
              <w:rPr>
                <w:rFonts w:ascii="Arial" w:cs="Arial" w:eastAsia="Arial" w:hAnsi="Arial"/>
                <w:b w:val="false"/>
                <w:bCs w:val="false"/>
                <w:color w:val="595959"/>
                <w:sz w:val="18"/>
                <w:szCs w:val="18"/>
              </w:rPr>
              <w:t xml:space="preserve">[Architecture]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routing optimizer automatizado. Sin task taxonomy. Sin leaderboard cost-performance. Major.</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Routing layer y telemetría per-call ya capturadas. Falta la capa de optimization driven by data:</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parrot/clients/factory.py — SUPPORTED_CLIENTS factory con resolución provider:model</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parrot/clients/* — Google GenAI, Anthropic Claude, OpenAI, Groq, OpenRouter, Ollama, vLLM, HuggingFace, Lambda Labs todos integrados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parrot/models/basic.py — LLMConfig + ModelConfig con resolve_llm_config: priority chain (client instance &gt; model_config dict &gt; preset &gt; parsed string)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parrot/bots/data.py — Dual-mode LLM pattern en PandasAgent (main_llm + tool_llm) — primer caso de uso real de routing por task type (tools vs. reasoning)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CompletionUsage (ver #5) — datos para cost-performance ranking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OpenRouter GenerationStats — cost USD por generation</w:t>
            </w:r>
          </w:p>
        </w:tc>
      </w:tr>
      <w:tr>
        <w:tc>
          <w:tcPr>
            <w:tcW w:type="dxa" w:w="11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BF8F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Task taxonomy formal (YAML?): structured_extraction, semantic_reasoning, creative_synthesis, code_gen, classification, summarization, multi_hop_relational. Cada con tier recomendado.</w:t>
            </w:r>
          </w:p>
          <w:p>
            <w:pPr>
              <w:pStyle w:val="ListParagraph"/>
              <w:numPr>
                <w:ilvl w:val="0"/>
                <w:numId w:val="2"/>
              </w:numPr>
              <w:spacing w:after="30" w:before="30"/>
            </w:pPr>
            <w:r>
              <w:rPr>
                <w:rFonts w:ascii="Arial" w:cs="Arial" w:eastAsia="Arial" w:hAnsi="Arial"/>
                <w:color w:val="1F1F1F"/>
                <w:sz w:val="20"/>
                <w:szCs w:val="20"/>
              </w:rPr>
              <w:t xml:space="preserve">Cost-performance leaderboard live: aggregador semanal de telemetría producción → ranking accuracy-per-dollar por task type</w:t>
            </w:r>
          </w:p>
          <w:p>
            <w:pPr>
              <w:pStyle w:val="ListParagraph"/>
              <w:numPr>
                <w:ilvl w:val="0"/>
                <w:numId w:val="2"/>
              </w:numPr>
              <w:spacing w:after="30" w:before="30"/>
            </w:pPr>
            <w:r>
              <w:rPr>
                <w:rFonts w:ascii="Arial" w:cs="Arial" w:eastAsia="Arial" w:hAnsi="Arial"/>
                <w:color w:val="1F1F1F"/>
                <w:sz w:val="20"/>
                <w:szCs w:val="20"/>
              </w:rPr>
              <w:t xml:space="preserve">Auto-routing: extender LLMConfig.resolve para consultar el leaderboard antes de bind</w:t>
            </w:r>
          </w:p>
          <w:p>
            <w:pPr>
              <w:pStyle w:val="ListParagraph"/>
              <w:numPr>
                <w:ilvl w:val="0"/>
                <w:numId w:val="2"/>
              </w:numPr>
              <w:spacing w:after="30" w:before="30"/>
            </w:pPr>
            <w:r>
              <w:rPr>
                <w:rFonts w:ascii="Arial" w:cs="Arial" w:eastAsia="Arial" w:hAnsi="Arial"/>
                <w:color w:val="1F1F1F"/>
                <w:sz w:val="20"/>
                <w:szCs w:val="20"/>
              </w:rPr>
              <w:t xml:space="preserve">Model tryout feature: API para correr mismo task batch a través de N modelos en paralelo y comparar</w:t>
            </w:r>
          </w:p>
          <w:p>
            <w:pPr>
              <w:pStyle w:val="ListParagraph"/>
              <w:numPr>
                <w:ilvl w:val="0"/>
                <w:numId w:val="2"/>
              </w:numPr>
              <w:spacing w:after="30" w:before="30"/>
            </w:pPr>
            <w:r>
              <w:rPr>
                <w:rFonts w:ascii="Arial" w:cs="Arial" w:eastAsia="Arial" w:hAnsi="Arial"/>
                <w:color w:val="1F1F1F"/>
                <w:sz w:val="20"/>
                <w:szCs w:val="20"/>
              </w:rPr>
              <w:t xml:space="preserve">Latency-aware routing: detect peak load y degrade tasks no-críticos a modelos más rápidos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BF8F00"/>
                <w:sz w:val="20"/>
                <w:szCs w:val="20"/>
              </w:rPr>
              <w:t xml:space="preserve">Major (confirma McKinsey) — pero foundations sólidas para activar.</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#11</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Federated Operating Model  </w:t>
            </w:r>
            <w:r>
              <w:rPr>
                <w:rFonts w:ascii="Arial" w:cs="Arial" w:eastAsia="Arial" w:hAnsi="Arial"/>
                <w:b w:val="false"/>
                <w:bCs w:val="false"/>
                <w:color w:val="595959"/>
                <w:sz w:val="18"/>
                <w:szCs w:val="18"/>
              </w:rPr>
              <w:t xml:space="preserve">[Operations]</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modelo federado formal. Sin split definido central vs. domain. Sin production readiness review. Major.</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Estructura técnica para federation ya está; falta documentación organizacional:</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Monorepo packages/ai-parrot (core) + packages/ai-parrot-tools (toolkits) + packages/ai-parrot-loaders (loaders) — separation of concerns en código vía uv workspaces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parrot/manager.py + parrot/registry/registry.py — Plugin system + AgentRegistry con @register_agent decorator</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.claude/agents/sdd-autopilot.md — pipeline de production readiness ya funciona: sdd-worker → code-reviewer → qa-runner → PR review → optional Jira transition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.claude/commands/sdd-* — slash commands para SDD lifecycle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CLAUDE.md sección Worktree Policy: per-spec vs. mixed isolation rules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AbstractToolkit + AbstractTool extension pattern para domain teams sin tocar core</w:t>
            </w:r>
          </w:p>
        </w:tc>
      </w:tr>
      <w:tr>
        <w:tc>
          <w:tcPr>
            <w:tcW w:type="dxa" w:w="11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2E75B6"/>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RACI matrix documentada: quién owns plataforma vs. workflows vs. data products. Trabajo de leadership doc, no código.</w:t>
            </w:r>
          </w:p>
          <w:p>
            <w:pPr>
              <w:pStyle w:val="ListParagraph"/>
              <w:numPr>
                <w:ilvl w:val="0"/>
                <w:numId w:val="2"/>
              </w:numPr>
              <w:spacing w:after="30" w:before="30"/>
            </w:pPr>
            <w:r>
              <w:rPr>
                <w:rFonts w:ascii="Arial" w:cs="Arial" w:eastAsia="Arial" w:hAnsi="Arial"/>
                <w:color w:val="1F1F1F"/>
                <w:sz w:val="20"/>
                <w:szCs w:val="20"/>
              </w:rPr>
              <w:t xml:space="preserve">SLA del production readiness review (target 5-day cycle) — documentar y enforcement vía sdd-autopilot</w:t>
            </w:r>
          </w:p>
          <w:p>
            <w:pPr>
              <w:pStyle w:val="ListParagraph"/>
              <w:numPr>
                <w:ilvl w:val="0"/>
                <w:numId w:val="2"/>
              </w:numPr>
              <w:spacing w:after="30" w:before="30"/>
            </w:pPr>
            <w:r>
              <w:rPr>
                <w:rFonts w:ascii="Arial" w:cs="Arial" w:eastAsia="Arial" w:hAnsi="Arial"/>
                <w:color w:val="1F1F1F"/>
                <w:sz w:val="20"/>
                <w:szCs w:val="20"/>
              </w:rPr>
              <w:t xml:space="preserve">Cross-domain agent community of practice charter — calendarización + ownership del agent cookbook</w:t>
            </w:r>
          </w:p>
          <w:p>
            <w:pPr>
              <w:pStyle w:val="ListParagraph"/>
              <w:numPr>
                <w:ilvl w:val="0"/>
                <w:numId w:val="2"/>
              </w:numPr>
              <w:spacing w:after="30" w:before="30"/>
            </w:pPr>
            <w:r>
              <w:rPr>
                <w:rFonts w:ascii="Arial" w:cs="Arial" w:eastAsia="Arial" w:hAnsi="Arial"/>
                <w:color w:val="1F1F1F"/>
                <w:sz w:val="20"/>
                <w:szCs w:val="20"/>
              </w:rPr>
              <w:t xml:space="preserve">Métricas de ownership (workflows by domain, productivity by team) — instrumentación sobre SDD task index</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2E75B6"/>
                <w:sz w:val="20"/>
                <w:szCs w:val="20"/>
              </w:rPr>
              <w:t xml:space="preserve">Major → Organizational + light docs. Código ya soporta el modelo.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#12</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Agent Developer SDK + Local Dev Env  </w:t>
            </w:r>
            <w:r>
              <w:rPr>
                <w:rFonts w:ascii="Arial" w:cs="Arial" w:eastAsia="Arial" w:hAnsi="Arial"/>
                <w:b w:val="false"/>
                <w:bCs w:val="false"/>
                <w:color w:val="595959"/>
                <w:sz w:val="18"/>
                <w:szCs w:val="18"/>
              </w:rPr>
              <w:t xml:space="preserve">[Developer Experience]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Python SDK. Sin local dev env. Sin visual debugger. Sin scaffold CLI. Sin patterns library. Minor.</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La librería AI-Parrot ES el SDK; la mayoría del scaffold ya existe en SDD:</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AI-Parrot Python library con interfaces type-safe (Pydantic v2 throughout)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uv workspaces con monorepo packages/* — local dev primitives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parrot/helpers/* — facades (list_templates, get_template, register_template) demuestra el SDK pattern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parrot/registry/registry.py — AgentRegistry con decorator @register_agent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Ollama / vLLM disponibles en stack para local LLM execution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AgentsFlow execution tracing — debug data post-execution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.claude/commands/sdd-* — slash commands ya operan como scaffold CLI (sdd-brainstorm, sdd-spec, sdd-task, sdd-start)</w:t>
            </w:r>
          </w:p>
        </w:tc>
      </w:tr>
      <w:tr>
        <w:tc>
          <w:tcPr>
            <w:tcW w:type="dxa" w:w="11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2E75B6"/>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Docker Compose stack formal con todas las dependencies + mock APIs externas + local Ollama — empaquetar para new joiners</w:t>
            </w:r>
          </w:p>
          <w:p>
            <w:pPr>
              <w:pStyle w:val="ListParagraph"/>
              <w:numPr>
                <w:ilvl w:val="0"/>
                <w:numId w:val="2"/>
              </w:numPr>
              <w:spacing w:after="30" w:before="30"/>
            </w:pPr>
            <w:r>
              <w:rPr>
                <w:rFonts w:ascii="Arial" w:cs="Arial" w:eastAsia="Arial" w:hAnsi="Arial"/>
                <w:color w:val="1F1F1F"/>
                <w:sz w:val="20"/>
                <w:szCs w:val="20"/>
              </w:rPr>
              <w:t xml:space="preserve">Visual debugger UI: step-through DAG execution, inspect prompts/outputs por nodo. AgentsFlow tracing tiene los datos.</w:t>
            </w:r>
          </w:p>
          <w:p>
            <w:pPr>
              <w:pStyle w:val="ListParagraph"/>
              <w:numPr>
                <w:ilvl w:val="0"/>
                <w:numId w:val="2"/>
              </w:numPr>
              <w:spacing w:after="30" w:before="30"/>
            </w:pPr>
            <w:r>
              <w:rPr>
                <w:rFonts w:ascii="Arial" w:cs="Arial" w:eastAsia="Arial" w:hAnsi="Arial"/>
                <w:color w:val="1F1F1F"/>
                <w:sz w:val="20"/>
                <w:szCs w:val="20"/>
              </w:rPr>
              <w:t xml:space="preserve">parrot scaffold CLI unificado: comando único que genera agent boilerplate (schema, tests, observability hooks, permission manifest)</w:t>
            </w:r>
          </w:p>
          <w:p>
            <w:pPr>
              <w:pStyle w:val="ListParagraph"/>
              <w:numPr>
                <w:ilvl w:val="0"/>
                <w:numId w:val="2"/>
              </w:numPr>
              <w:spacing w:after="30" w:before="30"/>
            </w:pPr>
            <w:r>
              <w:rPr>
                <w:rFonts w:ascii="Arial" w:cs="Arial" w:eastAsia="Arial" w:hAnsi="Arial"/>
                <w:color w:val="1F1F1F"/>
                <w:sz w:val="20"/>
                <w:szCs w:val="20"/>
              </w:rPr>
              <w:t xml:space="preserve">Agent cookbook centralizado: extraer patrones del codebase a docs estructuradas (hoy están dispersos en docstrings y SDD specs)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2E75B6"/>
                <w:sz w:val="20"/>
                <w:szCs w:val="20"/>
              </w:rPr>
              <w:t xml:space="preserve">Minor (confirma McKinsey). DX polish, no bloqueante.</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#13</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Adoption &amp; Onboarding Program  </w:t>
            </w:r>
            <w:r>
              <w:rPr>
                <w:rFonts w:ascii="Arial" w:cs="Arial" w:eastAsia="Arial" w:hAnsi="Arial"/>
                <w:b w:val="false"/>
                <w:bCs w:val="false"/>
                <w:color w:val="595959"/>
                <w:sz w:val="18"/>
                <w:szCs w:val="18"/>
              </w:rPr>
              <w:t xml:space="preserve">[Operations]</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onboarding program estructurado. Sin A/B testing framework. Sin feedback loop. Improvement.</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Infraestructura técnica para feedback loop SÍ existe; el programa organizacional no: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parrot/memory/episodic/store.py — EpisodicMemoryStore.record_episode con situation, action_taken, outcome (EpisodeOutcome.SUCCESS/FAILURE), outcome_details, error_type, reflection, lesson_learned, suggested_action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parrot/memory/episodic/ — ReflectionEngine para auto-extract lessons, ImportanceScorer pluggable, RecallStrategy pluggable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EpisodicMemory con namespace dimensions (tenant_id, agent_id, user_id, session_id, room_id, crew_id) — permite tracking por field rep o store</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recall_similar via vector search → permite identificar patrones de adopción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Multi-channel notification (Teams, Slack, Telegram, WhatsApp per userMemories) — delivery a frontline</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Playbooks por rol (field rep, store manager, brand ambassador coach) — content authoring + training program</w:t>
            </w:r>
          </w:p>
          <w:p>
            <w:pPr>
              <w:pStyle w:val="ListParagraph"/>
              <w:numPr>
                <w:ilvl w:val="0"/>
                <w:numId w:val="2"/>
              </w:numPr>
              <w:spacing w:after="30" w:before="30"/>
            </w:pPr>
            <w:r>
              <w:rPr>
                <w:rFonts w:ascii="Arial" w:cs="Arial" w:eastAsia="Arial" w:hAnsi="Arial"/>
                <w:color w:val="1F1F1F"/>
                <w:sz w:val="20"/>
                <w:szCs w:val="20"/>
              </w:rPr>
              <w:t xml:space="preserve">A/B testing framework AI-asistido vs. tradicional — diseño experimental + dashboard de resultados</w:t>
            </w:r>
          </w:p>
          <w:p>
            <w:pPr>
              <w:pStyle w:val="ListParagraph"/>
              <w:numPr>
                <w:ilvl w:val="0"/>
                <w:numId w:val="2"/>
              </w:numPr>
              <w:spacing w:after="30" w:before="30"/>
            </w:pPr>
            <w:r>
              <w:rPr>
                <w:rFonts w:ascii="Arial" w:cs="Arial" w:eastAsia="Arial" w:hAnsi="Arial"/>
                <w:color w:val="1F1F1F"/>
                <w:sz w:val="20"/>
                <w:szCs w:val="20"/>
              </w:rPr>
              <w:t xml:space="preserve">Thumbs up/down UX en consumer-facing outputs — frontend trabajo (NEXUS / Telegram bots)</w:t>
            </w:r>
          </w:p>
          <w:p>
            <w:pPr>
              <w:pStyle w:val="ListParagraph"/>
              <w:numPr>
                <w:ilvl w:val="0"/>
                <w:numId w:val="2"/>
              </w:numPr>
              <w:spacing w:after="30" w:before="30"/>
            </w:pPr>
            <w:r>
              <w:rPr>
                <w:rFonts w:ascii="Arial" w:cs="Arial" w:eastAsia="Arial" w:hAnsi="Arial"/>
                <w:color w:val="1F1F1F"/>
                <w:sz w:val="20"/>
                <w:szCs w:val="20"/>
              </w:rPr>
              <w:t xml:space="preserve">KPI dashboard de adopción (uso por field rep, commission uplift correlacionado con uso de Parrot)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548235"/>
                <w:sz w:val="20"/>
                <w:szCs w:val="20"/>
              </w:rPr>
              <w:t xml:space="preserve">Improvement (confirma McKinsey). Mayormente organizacional + UX.</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#14</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Platform Roadmap with Published Milestones  </w:t>
            </w:r>
            <w:r>
              <w:rPr>
                <w:rFonts w:ascii="Arial" w:cs="Arial" w:eastAsia="Arial" w:hAnsi="Arial"/>
                <w:b w:val="false"/>
                <w:bCs w:val="false"/>
                <w:color w:val="595959"/>
                <w:sz w:val="18"/>
                <w:szCs w:val="18"/>
              </w:rPr>
              <w:t xml:space="preserve">[Developer Experience]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roadmap publicado. Sin SLAs formales. Sin User Council. Improvement.</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El SDD pipeline ES el roadmap interno. Falta surface visibility externa:</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sdd/proposals/*.brainstorm.md — proposals con problem statement, options, recommendations, complexity hint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sdd/specs/*.spec.md — specs aprobadas con Jira key, AC, codebase contract, worktree strategy</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sdd/tasks/.index.json — task index con feature_id, jira_key, jira_parent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.claude/commands/sdd-tojira.md — sync bidireccional con Jira (CREATE/UPDATE modes, idempotent re-runs)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FEAT-XXX numbering convention</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sdd-autopilot pipeline transparenta progress via state.json</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Dashboard público (o team-facing) de roadmap: surface de sdd/proposals y sdd/specs en formato consumable por stakeholders</w:t>
            </w:r>
          </w:p>
          <w:p>
            <w:pPr>
              <w:pStyle w:val="ListParagraph"/>
              <w:numPr>
                <w:ilvl w:val="0"/>
                <w:numId w:val="2"/>
              </w:numPr>
              <w:spacing w:after="30" w:before="30"/>
            </w:pPr>
            <w:r>
              <w:rPr>
                <w:rFonts w:ascii="Arial" w:cs="Arial" w:eastAsia="Arial" w:hAnsi="Arial"/>
                <w:color w:val="1F1F1F"/>
                <w:sz w:val="20"/>
                <w:szCs w:val="20"/>
              </w:rPr>
              <w:t xml:space="preserve">SLAs documentados (no aspiraciones): availability targets, latency SLOs por task type, support response times</w:t>
            </w:r>
          </w:p>
          <w:p>
            <w:pPr>
              <w:pStyle w:val="ListParagraph"/>
              <w:numPr>
                <w:ilvl w:val="0"/>
                <w:numId w:val="2"/>
              </w:numPr>
              <w:spacing w:after="30" w:before="30"/>
            </w:pPr>
            <w:r>
              <w:rPr>
                <w:rFonts w:ascii="Arial" w:cs="Arial" w:eastAsia="Arial" w:hAnsi="Arial"/>
                <w:color w:val="1F1F1F"/>
                <w:sz w:val="20"/>
                <w:szCs w:val="20"/>
              </w:rPr>
              <w:t xml:space="preserve">Platform User Council: charter, cadencia (quarterly), ownership</w:t>
            </w:r>
          </w:p>
          <w:p>
            <w:pPr>
              <w:pStyle w:val="ListParagraph"/>
              <w:numPr>
                <w:ilvl w:val="0"/>
                <w:numId w:val="2"/>
              </w:numPr>
              <w:spacing w:after="30" w:before="30"/>
            </w:pPr>
            <w:r>
              <w:rPr>
                <w:rFonts w:ascii="Arial" w:cs="Arial" w:eastAsia="Arial" w:hAnsi="Arial"/>
                <w:color w:val="1F1F1F"/>
                <w:sz w:val="20"/>
                <w:szCs w:val="20"/>
              </w:rPr>
              <w:t xml:space="preserve">Outcome de negocio mapping por feature: linkear cada FEAT-XXX a un KPI medible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548235"/>
                <w:sz w:val="20"/>
                <w:szCs w:val="20"/>
              </w:rPr>
              <w:t xml:space="preserve">Improvement (confirma McKinsey). Organizational + light tooling.</w:t>
            </w:r>
          </w:p>
        </w:tc>
      </w:tr>
    </w:tbl>
    <w:p>
      <w:pPr>
        <w:spacing w:after="12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#15</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IP Protection &amp; Competitive Moat  </w:t>
            </w:r>
            <w:r>
              <w:rPr>
                <w:rFonts w:ascii="Arial" w:cs="Arial" w:eastAsia="Arial" w:hAnsi="Arial"/>
                <w:b w:val="false"/>
                <w:bCs w:val="false"/>
                <w:color w:val="595959"/>
                <w:sz w:val="18"/>
                <w:szCs w:val="18"/>
              </w:rPr>
              <w:t xml:space="preserve">[Operations]</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IP counsel engagement. Sin disclosure review process. Sin trade secret register. Sin competitor differentiation maps. Improvement.</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Completamente externo al código.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Diferenciadores técnicos identificables en código (no documentados como IP): hybrid IP strategy mencionada en Parrot doc; OpenAPI auto-adapter; ontología layered (base/domains/clients); permission framework 2-layer; MCP/A2A nativos</w:t>
            </w:r>
          </w:p>
        </w:tc>
      </w:tr>
      <w:tr>
        <w:tc>
          <w:tcPr>
            <w:tcW w:type="dxa" w:w="110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jc w:val="center"/>
            </w:pPr>
            <w:r>
              <w:rPr>
                <w:rFonts w:ascii="Arial" w:cs="Arial" w:eastAsia="Arial" w:hAnsi="Arial"/>
                <w:b/>
                <w:bCs/>
                <w:color w:val="7030A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Engage IP counsel para prior art search en: ontology layered approach, OpenAPI auto-adapter, DAG-to-physical-dispatch pattern</w:t>
            </w:r>
          </w:p>
          <w:p>
            <w:pPr>
              <w:pStyle w:val="ListParagraph"/>
              <w:numPr>
                <w:ilvl w:val="0"/>
                <w:numId w:val="2"/>
              </w:numPr>
              <w:spacing w:after="30" w:before="30"/>
            </w:pPr>
            <w:r>
              <w:rPr>
                <w:rFonts w:ascii="Arial" w:cs="Arial" w:eastAsia="Arial" w:hAnsi="Arial"/>
                <w:color w:val="1F1F1F"/>
                <w:sz w:val="20"/>
                <w:szCs w:val="20"/>
              </w:rPr>
              <w:t xml:space="preserve">IP disclosure review process: gate antes de conference talks, customer pitches, blog posts</w:t>
            </w:r>
          </w:p>
          <w:p>
            <w:pPr>
              <w:pStyle w:val="ListParagraph"/>
              <w:numPr>
                <w:ilvl w:val="0"/>
                <w:numId w:val="2"/>
              </w:numPr>
              <w:spacing w:after="30" w:before="30"/>
            </w:pPr>
            <w:r>
              <w:rPr>
                <w:rFonts w:ascii="Arial" w:cs="Arial" w:eastAsia="Arial" w:hAnsi="Arial"/>
                <w:color w:val="1F1F1F"/>
                <w:sz w:val="20"/>
                <w:szCs w:val="20"/>
              </w:rPr>
              <w:t xml:space="preserve">Trade secret register interno</w:t>
            </w:r>
          </w:p>
          <w:p>
            <w:pPr>
              <w:pStyle w:val="ListParagraph"/>
              <w:numPr>
                <w:ilvl w:val="0"/>
                <w:numId w:val="2"/>
              </w:numPr>
              <w:spacing w:after="30" w:before="30"/>
            </w:pPr>
            <w:r>
              <w:rPr>
                <w:rFonts w:ascii="Arial" w:cs="Arial" w:eastAsia="Arial" w:hAnsi="Arial"/>
                <w:color w:val="1F1F1F"/>
                <w:sz w:val="20"/>
                <w:szCs w:val="20"/>
              </w:rPr>
              <w:t xml:space="preserve">Competitor differentiation maps: Salesforce Agentforce, MS Copilot Studio, LangChain/AutoGen, UiPath</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pPr>
            <w:r>
              <w:rPr>
                <w:rFonts w:ascii="Arial" w:cs="Arial" w:eastAsia="Arial" w:hAnsi="Arial"/>
                <w:b/>
                <w:bCs/>
                <w:color w:val="7030A0"/>
                <w:sz w:val="20"/>
                <w:szCs w:val="20"/>
              </w:rPr>
              <w:t xml:space="preserve">Improvement (confirma McKinsey). Owner: Legal + Engineering Leadership.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#16</w:t>
            </w:r>
          </w:p>
        </w:tc>
        <w:tc>
          <w:tcPr>
            <w:tcW w:type="dxa" w:w="8260"/>
            <w:tcBorders>
              <w:top w:val="single" w:color="BFBFBF" w:sz="4"/>
              <w:left w:val="single" w:color="BFBFBF" w:sz="4"/>
              <w:bottom w:val="single" w:color="BFBFBF" w:sz="4"/>
              <w:right w:val="single" w:color="BFBFBF" w:sz="4"/>
            </w:tcBorders>
            <w:shd w:fill="E9EEF0" w:val="clear"/>
            <w:tcMar>
              <w:top w:type="dxa" w:w="100"/>
              <w:left w:type="dxa" w:w="140"/>
              <w:bottom w:type="dxa" w:w="100"/>
              <w:right w:type="dxa" w:w="140"/>
            </w:tcMar>
          </w:tcPr>
          <w:p>
            <w:pPr>
              <w:spacing w:after="0" w:before="0"/>
            </w:pPr>
            <w:r>
              <w:rPr>
                <w:rFonts w:ascii="Arial" w:cs="Arial" w:eastAsia="Arial" w:hAnsi="Arial"/>
                <w:b/>
                <w:bCs/>
                <w:color w:val="264653"/>
                <w:sz w:val="24"/>
                <w:szCs w:val="24"/>
              </w:rPr>
              <w:t xml:space="preserve">Continuous Learning Loop  </w:t>
            </w:r>
            <w:r>
              <w:rPr>
                <w:rFonts w:ascii="Arial" w:cs="Arial" w:eastAsia="Arial" w:hAnsi="Arial"/>
                <w:b w:val="false"/>
                <w:bCs w:val="false"/>
                <w:color w:val="595959"/>
                <w:sz w:val="18"/>
                <w:szCs w:val="18"/>
              </w:rPr>
              <w:t xml:space="preserve">[Architecture]</w:t>
            </w:r>
          </w:p>
        </w:tc>
      </w:tr>
      <w:tr>
        <w:tc>
          <w:tcPr>
            <w:tcW w:type="dxa" w:w="11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C00000"/>
                <w:sz w:val="18"/>
                <w:szCs w:val="18"/>
              </w:rPr>
              <w:t xml:space="preserve">McKinsey dice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595959"/>
                <w:sz w:val="20"/>
                <w:szCs w:val="20"/>
              </w:rPr>
              <w:t xml:space="preserve">Sin outcome linkage system. Sin fine-tuning pipeline desde producción. Sin prompt performance tracking sobre el tiempo. Learning loop no cerrado. Improvement.</w:t>
            </w:r>
          </w:p>
        </w:tc>
      </w:tr>
      <w:tr>
        <w:tc>
          <w:tcPr>
            <w:tcW w:type="dxa" w:w="11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548235"/>
                <w:sz w:val="18"/>
                <w:szCs w:val="18"/>
              </w:rPr>
              <w:t xml:space="preserve">Código tiene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before="0"/>
            </w:pPr>
            <w:r>
              <w:rPr>
                <w:rFonts w:ascii="Arial" w:cs="Arial" w:eastAsia="Arial" w:hAnsi="Arial"/>
                <w:color w:val="1F1F1F"/>
                <w:sz w:val="20"/>
                <w:szCs w:val="20"/>
              </w:rPr>
              <w:t xml:space="preserve">Captura de outcomes y reflection YA está sistematizada. Falta la capa de activación a downstream:</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parrot/memory/episodic/store.py — record_episode con outcome classification (SUCCESS/FAILURE/PARTIAL), error_type, importance auto-computed, generate_reflection auto</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parrot/memory/unified/manager.py — UnifiedMemoryManager con asyncio.gather de episodic + skill + conversation, ContextAssembler con token budget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parrot/memory/unified/mixin.py — LongTermMemoryMixin con configure_long_term_memory: episodic_inject_warnings, episodic_auto_record, skill_auto_extract, skill_inject_context</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parrot/memory/episodic/store.py — record_crew_workflow para crew-level + per-agent episodes</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parrot/memory/unified/routing.py — CrossDomainRouter para multi-agent memory sharing</w:t>
            </w:r>
          </w:p>
          <w:p>
            <w:pPr>
              <w:spacing w:after="20" w:before="20"/>
              <w:ind w:left="100"/>
            </w:pPr>
            <w:r>
              <w:rPr>
                <w:rFonts w:ascii="Arial" w:cs="Arial" w:eastAsia="Arial" w:hAnsi="Arial"/>
                <w:color w:val="548235"/>
                <w:sz w:val="18"/>
                <w:szCs w:val="18"/>
              </w:rPr>
              <w:t xml:space="preserve">→ </w:t>
            </w:r>
            <w:r>
              <w:rPr>
                <w:rFonts w:ascii="Consolas" w:cs="Consolas" w:eastAsia="Consolas" w:hAnsi="Consolas"/>
                <w:color w:val="264653"/>
                <w:sz w:val="17"/>
                <w:szCs w:val="17"/>
              </w:rPr>
              <w:t xml:space="preserve">EpisodicMemory model con related_tools, related_entities, lesson_learned, suggested_action</w:t>
            </w:r>
          </w:p>
        </w:tc>
      </w:tr>
      <w:tr>
        <w:tc>
          <w:tcPr>
            <w:tcW w:type="dxa" w:w="11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BF8F00"/>
                <w:sz w:val="18"/>
                <w:szCs w:val="18"/>
              </w:rPr>
              <w:t xml:space="preserve">Delta real</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Outcome linkage a KPIs de negocio: hoy EpisodicMemory captura outcomes desde el agente (success/failure). Falta correlacionar con KPIs (revenue recovered, shelf restocked time, NEXUS conversion). Trabajo de integration.</w:t>
            </w:r>
          </w:p>
          <w:p>
            <w:pPr>
              <w:pStyle w:val="ListParagraph"/>
              <w:numPr>
                <w:ilvl w:val="0"/>
                <w:numId w:val="2"/>
              </w:numPr>
              <w:spacing w:after="30" w:before="30"/>
            </w:pPr>
            <w:r>
              <w:rPr>
                <w:rFonts w:ascii="Arial" w:cs="Arial" w:eastAsia="Arial" w:hAnsi="Arial"/>
                <w:color w:val="1F1F1F"/>
                <w:sz w:val="20"/>
                <w:szCs w:val="20"/>
              </w:rPr>
              <w:t xml:space="preserve">Fine-tuning pipeline desde episodes: exportar EpisodicMemory a dataset format → fine-tune smaller models (HF Transformers ya en stack). Trabajo de ML pipeline, no fundación.</w:t>
            </w:r>
          </w:p>
          <w:p>
            <w:pPr>
              <w:pStyle w:val="ListParagraph"/>
              <w:numPr>
                <w:ilvl w:val="0"/>
                <w:numId w:val="2"/>
              </w:numPr>
              <w:spacing w:after="30" w:before="30"/>
            </w:pPr>
            <w:r>
              <w:rPr>
                <w:rFonts w:ascii="Arial" w:cs="Arial" w:eastAsia="Arial" w:hAnsi="Arial"/>
                <w:color w:val="1F1F1F"/>
                <w:sz w:val="20"/>
                <w:szCs w:val="20"/>
              </w:rPr>
              <w:t xml:space="preserve">Prompt performance dashboard sobre el tiempo: agregar episodes por prompt version + outcome, visualizar trends</w:t>
            </w:r>
          </w:p>
          <w:p>
            <w:pPr>
              <w:pStyle w:val="ListParagraph"/>
              <w:numPr>
                <w:ilvl w:val="0"/>
                <w:numId w:val="2"/>
              </w:numPr>
              <w:spacing w:after="30" w:before="30"/>
            </w:pPr>
            <w:r>
              <w:rPr>
                <w:rFonts w:ascii="Arial" w:cs="Arial" w:eastAsia="Arial" w:hAnsi="Arial"/>
                <w:color w:val="1F1F1F"/>
                <w:sz w:val="20"/>
                <w:szCs w:val="20"/>
              </w:rPr>
              <w:t xml:space="preserve">Monthly data flywheel report para stakeholders: automatizar generación desde EpisodicMemory + telemetría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18"/>
                <w:szCs w:val="18"/>
              </w:rPr>
              <w:t xml:space="preserve">Severidad revisada</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BF8F00"/>
                <w:sz w:val="20"/>
                <w:szCs w:val="20"/>
              </w:rPr>
              <w:t xml:space="preserve">Improvement → Major. La data SÍ se captura. Activar el downstream sería high-leverage.</w:t>
            </w:r>
          </w:p>
        </w:tc>
      </w:tr>
    </w:tbl>
    <w:p>
      <w:r>
        <w:br w:type="page"/>
      </w:r>
    </w:p>
    <w:p>
      <w:pPr>
        <w:pStyle w:val="Heading1"/>
        <w:spacing w:after="200" w:before="360"/>
      </w:pPr>
      <w:r>
        <w:rPr>
          <w:rFonts w:ascii="Arial" w:cs="Arial" w:eastAsia="Arial" w:hAnsi="Arial"/>
          <w:b/>
          <w:bCs/>
          <w:color w:val="264653"/>
          <w:sz w:val="36"/>
          <w:szCs w:val="36"/>
        </w:rPr>
        <w:t xml:space="preserve">4. Roadmap Reordenado por Brecha Real</w:t>
      </w:r>
    </w:p>
    <w:p>
      <w:pPr>
        <w:spacing w:after="60" w:before="60"/>
      </w:pPr>
      <w:r>
        <w:rPr>
          <w:rFonts w:ascii="Arial" w:cs="Arial" w:eastAsia="Arial" w:hAnsi="Arial"/>
          <w:b w:val="false"/>
          <w:bCs w:val="false"/>
          <w:color w:val="1F1F1F"/>
          <w:sz w:val="22"/>
          <w:szCs w:val="22"/>
        </w:rPr>
        <w:t xml:space="preserve">Recategorización de los 16 items según la brecha real (no la percibida por McKinsey). Esto define los buckets sobre los que armar sprints y asignar owners.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960"/>
        <w:gridCol w:w="2400"/>
        <w:gridCol w:w="1300"/>
      </w:tblGrid>
      <w:tr>
        <w:trPr>
          <w:tblHeader/>
        </w:trPr>
        <w:tc>
          <w:tcPr>
            <w:tcW w:type="dxa" w:w="17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Bucket</w:t>
            </w:r>
          </w:p>
        </w:tc>
        <w:tc>
          <w:tcPr>
            <w:tcW w:type="dxa" w:w="396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Items</w:t>
            </w:r>
          </w:p>
        </w:tc>
        <w:tc>
          <w:tcPr>
            <w:tcW w:type="dxa" w:w="24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Trabajo predominante</w:t>
            </w:r>
          </w:p>
        </w:tc>
        <w:tc>
          <w:tcPr>
            <w:tcW w:type="dxa" w:w="1300"/>
            <w:tcBorders>
              <w:top w:val="single" w:color="BFBFBF" w:sz="4"/>
              <w:left w:val="single" w:color="BFBFBF" w:sz="4"/>
              <w:bottom w:val="single" w:color="BFBFBF" w:sz="4"/>
              <w:right w:val="single" w:color="BFBFBF" w:sz="4"/>
            </w:tcBorders>
            <w:shd w:fill="264653"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Sprint estimado</w:t>
            </w:r>
          </w:p>
        </w:tc>
      </w:tr>
      <w:tr>
        <w:tc>
          <w:tcPr>
            <w:tcW w:type="dxa" w:w="17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TRUE CRITICAL</w:t>
            </w:r>
          </w:p>
        </w:tc>
        <w:tc>
          <w:tcPr>
            <w:tcW w:type="dxa" w:w="39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#3 Pre-Deployment Testing</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Construir shadow mode + chaos + rollback. El único item McKinsey-Critical que requiere genuino build.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1-3 meses (FEAT-spec inmediato)</w:t>
            </w:r>
          </w:p>
        </w:tc>
      </w:tr>
      <w:tr>
        <w:tc>
          <w:tcPr>
            <w:tcW w:type="dxa" w:w="17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ACTIVACIÓN</w:t>
            </w:r>
          </w:p>
        </w:tc>
        <w:tc>
          <w:tcPr>
            <w:tcW w:type="dxa" w:w="39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#1 Authority Tier Model · #2 Medallion Validation · #5 Telemetry Dashboard · #6 Prompt Registry · #10 Routing Optimizer · #16 Fine-tuning Pipeline</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Capas de agregación, packaging y enforcement sobre primitivas existentes. La data y los pluggable interfaces YA están.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2-4 meses (parallel SDD specs)</w:t>
            </w:r>
          </w:p>
        </w:tc>
      </w:tr>
      <w:tr>
        <w:tc>
          <w:tcPr>
            <w:tcW w:type="dxa" w:w="17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INTEGRATION</w:t>
            </w:r>
          </w:p>
        </w:tc>
        <w:tc>
          <w:tcPr>
            <w:tcW w:type="dxa" w:w="39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#9 Cross-agent Catalog · #11 Federated Ops Docs</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Service cross-cutting (#9) + documentación organizacional + dashboards (#11).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1-2 meses (mixed dev + leadership)</w:t>
            </w:r>
          </w:p>
        </w:tc>
      </w:tr>
      <w:tr>
        <w:tc>
          <w:tcPr>
            <w:tcW w:type="dxa" w:w="1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CONFIG / DOMAIN</w:t>
            </w:r>
          </w:p>
        </w:tc>
        <w:tc>
          <w:tcPr>
            <w:tcW w:type="dxa" w:w="39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#4 Retail OntoGraph YAML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Pura autoría de YAML de ontologías. El engine completo está en producción.</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1-2 semanas (data engineering + domain SMEs)</w:t>
            </w:r>
          </w:p>
        </w:tc>
      </w:tr>
      <w:tr>
        <w:tc>
          <w:tcPr>
            <w:tcW w:type="dxa" w:w="1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FRONTEND / UX</w:t>
            </w:r>
          </w:p>
        </w:tc>
        <w:tc>
          <w:tcPr>
            <w:tcW w:type="dxa" w:w="39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#7 No-Code Builder · #12 DX Polish</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Trabajo de nav-admin (SvelteKit). Asignar a frontend team.</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3-6 meses (track largo)</w:t>
            </w:r>
          </w:p>
        </w:tc>
      </w:tr>
      <w:tr>
        <w:tc>
          <w:tcPr>
            <w:tcW w:type="dxa" w:w="1700"/>
            <w:tcBorders>
              <w:top w:val="single" w:color="BFBFBF" w:sz="4"/>
              <w:left w:val="single" w:color="BFBFBF" w:sz="4"/>
              <w:bottom w:val="single" w:color="BFBFBF" w:sz="4"/>
              <w:right w:val="single" w:color="BFBFBF" w:sz="4"/>
            </w:tcBorders>
            <w:shd w:fill="7030A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EXTERNO</w:t>
            </w:r>
          </w:p>
        </w:tc>
        <w:tc>
          <w:tcPr>
            <w:tcW w:type="dxa" w:w="3960"/>
            <w:tcBorders>
              <w:top w:val="single" w:color="BFBFBF" w:sz="4"/>
              <w:left w:val="single" w:color="BFBFBF" w:sz="4"/>
              <w:bottom w:val="single" w:color="BFBFBF" w:sz="4"/>
              <w:right w:val="single" w:color="BFBFBF" w:sz="4"/>
            </w:tcBorders>
            <w:shd w:fill="EAE0F4" w:val="clear"/>
            <w:tcMar>
              <w:top w:type="dxa" w:w="100"/>
              <w:left w:type="dxa" w:w="140"/>
              <w:bottom w:type="dxa" w:w="100"/>
              <w:right w:type="dxa" w:w="140"/>
            </w:tcMar>
          </w:tcPr>
          <w:p>
            <w:pPr>
              <w:spacing w:after="0" w:before="0"/>
            </w:pPr>
            <w:r>
              <w:rPr>
                <w:rFonts w:ascii="Arial" w:cs="Arial" w:eastAsia="Arial" w:hAnsi="Arial"/>
                <w:b/>
                <w:bCs/>
                <w:color w:val="1F1F1F"/>
                <w:sz w:val="18"/>
                <w:szCs w:val="18"/>
              </w:rPr>
              <w:t xml:space="preserve">#8 NEXUS Disclosure · #13 Adoption Program · #14 Roadmap Gov · #15 IP Protection</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Owners fuera de AI-Parrot eng: NEXUS team, Legal, Engineering Leadership, Operations + Training.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rial" w:cs="Arial" w:eastAsia="Arial" w:hAnsi="Arial"/>
                <w:color w:val="1F1F1F"/>
                <w:sz w:val="18"/>
                <w:szCs w:val="18"/>
              </w:rPr>
              <w:t xml:space="preserve">Paralelo (no bloqueante)</w:t>
            </w:r>
          </w:p>
        </w:tc>
      </w:tr>
    </w:tbl>
    <w:p>
      <w:r>
        <w:br w:type="page"/>
      </w:r>
    </w:p>
    <w:p>
      <w:pPr>
        <w:pStyle w:val="Heading1"/>
        <w:spacing w:after="200" w:before="360"/>
      </w:pPr>
      <w:r>
        <w:rPr>
          <w:rFonts w:ascii="Arial" w:cs="Arial" w:eastAsia="Arial" w:hAnsi="Arial"/>
          <w:b/>
          <w:bCs/>
          <w:color w:val="264653"/>
          <w:sz w:val="36"/>
          <w:szCs w:val="36"/>
        </w:rPr>
        <w:t xml:space="preserve">5. Plan Concreto de Sprints (3 a 6 meses)</w:t>
      </w:r>
    </w:p>
    <w:p>
      <w:pPr>
        <w:spacing w:after="60" w:before="60"/>
      </w:pPr>
      <w:r>
        <w:rPr>
          <w:rFonts w:ascii="Arial" w:cs="Arial" w:eastAsia="Arial" w:hAnsi="Arial"/>
          <w:b w:val="false"/>
          <w:bCs w:val="false"/>
          <w:color w:val="1F1F1F"/>
          <w:sz w:val="22"/>
          <w:szCs w:val="22"/>
        </w:rPr>
        <w:t xml:space="preserve">Traducción del bucketing en sprints SDD ejecutables. Cada sprint produce uno o más FEAT-XXX brainstorms + specs. La cadencia asume 2-semana sprints con 2 worktrees paralelos.</w:t>
      </w:r>
    </w:p>
    <w:p>
      <w:pPr>
        <w:pStyle w:val="Heading2"/>
        <w:spacing w:after="160" w:before="280"/>
      </w:pPr>
      <w:r>
        <w:rPr>
          <w:rFonts w:ascii="Arial" w:cs="Arial" w:eastAsia="Arial" w:hAnsi="Arial"/>
          <w:b/>
          <w:bCs/>
          <w:color w:val="264653"/>
          <w:sz w:val="28"/>
          <w:szCs w:val="28"/>
        </w:rPr>
        <w:t xml:space="preserve">Sprint 1-2 (semanas 1-4): Foundation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00000" w:sz="24"/>
              <w:bottom w:val="single" w:color="BFBFBF" w:sz="4"/>
              <w:right w:val="single" w:color="BFBFBF" w:sz="4"/>
            </w:tcBorders>
            <w:shd w:fill="FCE4E4" w:val="clear"/>
            <w:tcMar>
              <w:top w:type="dxa" w:w="160"/>
              <w:left w:type="dxa" w:w="200"/>
              <w:bottom w:type="dxa" w:w="160"/>
              <w:right w:type="dxa" w:w="200"/>
            </w:tcMar>
          </w:tcPr>
          <w:p>
            <w:pPr>
              <w:spacing w:after="80" w:before="0"/>
            </w:pPr>
            <w:r>
              <w:rPr>
                <w:rFonts w:ascii="Arial" w:cs="Arial" w:eastAsia="Arial" w:hAnsi="Arial"/>
                <w:b/>
                <w:bCs/>
                <w:color w:val="C00000"/>
                <w:sz w:val="22"/>
                <w:szCs w:val="22"/>
              </w:rPr>
              <w:t xml:space="preserve">Objetivo del sprint</w:t>
            </w:r>
          </w:p>
          <w:p>
            <w:pPr>
              <w:spacing w:after="60" w:before="60"/>
            </w:pPr>
            <w:r>
              <w:rPr>
                <w:rFonts w:ascii="Arial" w:cs="Arial" w:eastAsia="Arial" w:hAnsi="Arial"/>
                <w:b w:val="false"/>
                <w:bCs w:val="false"/>
                <w:color w:val="1F1F1F"/>
                <w:sz w:val="22"/>
                <w:szCs w:val="22"/>
              </w:rPr>
              <w:t xml:space="preserve">Cerrar la única brecha realmente Critical y arrancar las activaciones más bloqueantes. Output: 3 FEATs en SDD spec + 1 ya implementándose.</w:t>
            </w:r>
          </w:p>
        </w:tc>
      </w:tr>
    </w:tbl>
    <w:p>
      <w:pPr>
        <w:pStyle w:val="ListParagraph"/>
        <w:numPr>
          <w:ilvl w:val="0"/>
          <w:numId w:val="2"/>
        </w:numPr>
        <w:spacing w:after="40" w:before="40"/>
      </w:pPr>
      <w:r>
        <w:rPr>
          <w:rFonts w:ascii="Arial" w:cs="Arial" w:eastAsia="Arial" w:hAnsi="Arial"/>
          <w:b/>
          <w:bCs/>
          <w:color w:val="C00000"/>
          <w:sz w:val="22"/>
          <w:szCs w:val="22"/>
        </w:rPr>
        <w:t xml:space="preserve">FEAT-A · Shadow Mode + DAG Chaos Testing</w:t>
      </w:r>
      <w:r>
        <w:rPr>
          <w:rFonts w:ascii="Arial" w:cs="Arial" w:eastAsia="Arial" w:hAnsi="Arial"/>
          <w:b w:val="false"/>
          <w:bCs w:val="false"/>
          <w:color w:val="1F1F1F"/>
          <w:sz w:val="22"/>
          <w:szCs w:val="22"/>
        </w:rPr>
        <w:t xml:space="preserve"> (#3): brainstorm → spec → 2 worktrees paralelos. Owner: Platform Eng.</w:t>
      </w:r>
    </w:p>
    <w:p>
      <w:pPr>
        <w:pStyle w:val="ListParagraph"/>
        <w:numPr>
          <w:ilvl w:val="0"/>
          <w:numId w:val="2"/>
        </w:numPr>
        <w:spacing w:after="40" w:before="40"/>
      </w:pPr>
      <w:r>
        <w:rPr>
          <w:rFonts w:ascii="Arial" w:cs="Arial" w:eastAsia="Arial" w:hAnsi="Arial"/>
          <w:b/>
          <w:bCs/>
          <w:color w:val="2E75B6"/>
          <w:sz w:val="22"/>
          <w:szCs w:val="22"/>
        </w:rPr>
        <w:t xml:space="preserve">FEAT-B · Retail Ontology YAML authoring</w:t>
      </w:r>
      <w:r>
        <w:rPr>
          <w:rFonts w:ascii="Arial" w:cs="Arial" w:eastAsia="Arial" w:hAnsi="Arial"/>
          <w:b w:val="false"/>
          <w:bCs w:val="false"/>
          <w:color w:val="1F1F1F"/>
          <w:sz w:val="22"/>
          <w:szCs w:val="22"/>
        </w:rPr>
        <w:t xml:space="preserve"> (#4): base.ontology.yaml + domains/retail.ontology.yaml + 3-5 TraversalPatterns. Owner: Data Eng + retail SME.</w:t>
      </w:r>
    </w:p>
    <w:p>
      <w:pPr>
        <w:pStyle w:val="ListParagraph"/>
        <w:numPr>
          <w:ilvl w:val="0"/>
          <w:numId w:val="2"/>
        </w:numPr>
        <w:spacing w:after="40" w:before="40"/>
      </w:pPr>
      <w:r>
        <w:rPr>
          <w:rFonts w:ascii="Arial" w:cs="Arial" w:eastAsia="Arial" w:hAnsi="Arial"/>
          <w:b/>
          <w:bCs/>
          <w:color w:val="BF8F00"/>
          <w:sz w:val="22"/>
          <w:szCs w:val="22"/>
        </w:rPr>
        <w:t xml:space="preserve">FEAT-C · Three-Tier Authority Model formalization</w:t>
      </w:r>
      <w:r>
        <w:rPr>
          <w:rFonts w:ascii="Arial" w:cs="Arial" w:eastAsia="Arial" w:hAnsi="Arial"/>
          <w:b w:val="false"/>
          <w:bCs w:val="false"/>
          <w:color w:val="1F1F1F"/>
          <w:sz w:val="22"/>
          <w:szCs w:val="22"/>
        </w:rPr>
        <w:t xml:space="preserve"> (#1): brainstorm → spec. Tier como atributo en YAML agent def + Tier 1 GuardrailAgent class. Owner: Security.</w:t>
      </w:r>
    </w:p>
    <w:p>
      <w:pPr>
        <w:pStyle w:val="Heading2"/>
        <w:spacing w:after="160" w:before="280"/>
      </w:pPr>
      <w:r>
        <w:rPr>
          <w:rFonts w:ascii="Arial" w:cs="Arial" w:eastAsia="Arial" w:hAnsi="Arial"/>
          <w:b/>
          <w:bCs/>
          <w:color w:val="264653"/>
          <w:sz w:val="28"/>
          <w:szCs w:val="28"/>
        </w:rPr>
        <w:t xml:space="preserve">Sprint 3-4 (semanas 5-8): Observability + Prompt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ED7D31" w:sz="24"/>
              <w:bottom w:val="single" w:color="BFBFBF" w:sz="4"/>
              <w:right w:val="single" w:color="BFBFBF" w:sz="4"/>
            </w:tcBorders>
            <w:shd w:fill="FCE6D5" w:val="clear"/>
            <w:tcMar>
              <w:top w:type="dxa" w:w="160"/>
              <w:left w:type="dxa" w:w="200"/>
              <w:bottom w:type="dxa" w:w="160"/>
              <w:right w:type="dxa" w:w="200"/>
            </w:tcMar>
          </w:tcPr>
          <w:p>
            <w:pPr>
              <w:spacing w:after="80" w:before="0"/>
            </w:pPr>
            <w:r>
              <w:rPr>
                <w:rFonts w:ascii="Arial" w:cs="Arial" w:eastAsia="Arial" w:hAnsi="Arial"/>
                <w:b/>
                <w:bCs/>
                <w:color w:val="ED7D31"/>
                <w:sz w:val="22"/>
                <w:szCs w:val="22"/>
              </w:rPr>
              <w:t xml:space="preserve">Objetivo del sprint</w:t>
            </w:r>
          </w:p>
          <w:p>
            <w:pPr>
              <w:spacing w:after="60" w:before="60"/>
            </w:pPr>
            <w:r>
              <w:rPr>
                <w:rFonts w:ascii="Arial" w:cs="Arial" w:eastAsia="Arial" w:hAnsi="Arial"/>
                <w:b w:val="false"/>
                <w:bCs w:val="false"/>
                <w:color w:val="1F1F1F"/>
                <w:sz w:val="22"/>
                <w:szCs w:val="22"/>
              </w:rPr>
              <w:t xml:space="preserve">Capa de activación sobre datos crudos ya capturados. La intuición es que con observability live, el resto de optimizaciones se vuelven data-driven en lugar de adivinanza.</w:t>
            </w:r>
          </w:p>
        </w:tc>
      </w:tr>
    </w:tbl>
    <w:p>
      <w:pPr>
        <w:pStyle w:val="ListParagraph"/>
        <w:numPr>
          <w:ilvl w:val="0"/>
          <w:numId w:val="2"/>
        </w:numPr>
        <w:spacing w:after="40" w:before="40"/>
      </w:pPr>
      <w:r>
        <w:rPr>
          <w:rFonts w:ascii="Arial" w:cs="Arial" w:eastAsia="Arial" w:hAnsi="Arial"/>
          <w:b/>
          <w:bCs/>
          <w:color w:val="ED7D31"/>
          <w:sz w:val="22"/>
          <w:szCs w:val="22"/>
        </w:rPr>
        <w:t xml:space="preserve">FEAT-D · Telemetry Aggregator + Cost Attribution Dashboard</w:t>
      </w:r>
      <w:r>
        <w:rPr>
          <w:rFonts w:ascii="Arial" w:cs="Arial" w:eastAsia="Arial" w:hAnsi="Arial"/>
          <w:b w:val="false"/>
          <w:bCs w:val="false"/>
          <w:color w:val="1F1F1F"/>
          <w:sz w:val="22"/>
          <w:szCs w:val="22"/>
        </w:rPr>
        <w:t xml:space="preserve"> (#5): pipeline CompletionUsage + MetricAction → ClickHouse/BigQuery → dashboard en nav-admin. Owner: Platform Eng + nav-admin.</w:t>
      </w:r>
    </w:p>
    <w:p>
      <w:pPr>
        <w:pStyle w:val="ListParagraph"/>
        <w:numPr>
          <w:ilvl w:val="0"/>
          <w:numId w:val="2"/>
        </w:numPr>
        <w:spacing w:after="40" w:before="40"/>
      </w:pPr>
      <w:r>
        <w:rPr>
          <w:rFonts w:ascii="Arial" w:cs="Arial" w:eastAsia="Arial" w:hAnsi="Arial"/>
          <w:b/>
          <w:bCs/>
          <w:color w:val="BF8F00"/>
          <w:sz w:val="22"/>
          <w:szCs w:val="22"/>
        </w:rPr>
        <w:t xml:space="preserve">FEAT-E · Prompt Registry with semver + Canary</w:t>
      </w:r>
      <w:r>
        <w:rPr>
          <w:rFonts w:ascii="Arial" w:cs="Arial" w:eastAsia="Arial" w:hAnsi="Arial"/>
          <w:b w:val="false"/>
          <w:bCs w:val="false"/>
          <w:color w:val="1F1F1F"/>
          <w:sz w:val="22"/>
          <w:szCs w:val="22"/>
        </w:rPr>
        <w:t xml:space="preserve"> (#6): extender infographic_registry pattern para PromptRegistry. Integration con SDD task workflow. Owner: AI Eng.</w:t>
      </w:r>
    </w:p>
    <w:p>
      <w:pPr>
        <w:pStyle w:val="ListParagraph"/>
        <w:numPr>
          <w:ilvl w:val="0"/>
          <w:numId w:val="2"/>
        </w:numPr>
        <w:spacing w:after="40" w:before="40"/>
      </w:pPr>
      <w:r>
        <w:rPr>
          <w:rFonts w:ascii="Arial" w:cs="Arial" w:eastAsia="Arial" w:hAnsi="Arial"/>
          <w:b/>
          <w:bCs/>
          <w:color w:val="ED7D31"/>
          <w:sz w:val="22"/>
          <w:szCs w:val="22"/>
        </w:rPr>
        <w:t xml:space="preserve">FEAT-F · Medallion Layer Bronze/Silver + Quality Scoring</w:t>
      </w:r>
      <w:r>
        <w:rPr>
          <w:rFonts w:ascii="Arial" w:cs="Arial" w:eastAsia="Arial" w:hAnsi="Arial"/>
          <w:b w:val="false"/>
          <w:bCs w:val="false"/>
          <w:color w:val="1F1F1F"/>
          <w:sz w:val="22"/>
          <w:szCs w:val="22"/>
        </w:rPr>
        <w:t xml:space="preserve"> (#2): formalizar capas + integrar streaming validation (Apache Griffin) + quality_score field en EpisodicMemory. Owner: Data Eng.</w:t>
      </w:r>
    </w:p>
    <w:p>
      <w:pPr>
        <w:pStyle w:val="Heading2"/>
        <w:spacing w:after="160" w:before="280"/>
      </w:pPr>
      <w:r>
        <w:rPr>
          <w:rFonts w:ascii="Arial" w:cs="Arial" w:eastAsia="Arial" w:hAnsi="Arial"/>
          <w:b/>
          <w:bCs/>
          <w:color w:val="264653"/>
          <w:sz w:val="28"/>
          <w:szCs w:val="28"/>
        </w:rPr>
        <w:t xml:space="preserve">Sprint 5-6 (semanas 9-12): Routing Intelligence +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8F00" w:sz="24"/>
              <w:bottom w:val="single" w:color="BFBFBF" w:sz="4"/>
              <w:right w:val="single" w:color="BFBFBF" w:sz="4"/>
            </w:tcBorders>
            <w:shd w:fill="FFF1CC" w:val="clear"/>
            <w:tcMar>
              <w:top w:type="dxa" w:w="160"/>
              <w:left w:type="dxa" w:w="200"/>
              <w:bottom w:type="dxa" w:w="160"/>
              <w:right w:type="dxa" w:w="200"/>
            </w:tcMar>
          </w:tcPr>
          <w:p>
            <w:pPr>
              <w:spacing w:after="80" w:before="0"/>
            </w:pPr>
            <w:r>
              <w:rPr>
                <w:rFonts w:ascii="Arial" w:cs="Arial" w:eastAsia="Arial" w:hAnsi="Arial"/>
                <w:b/>
                <w:bCs/>
                <w:color w:val="BF8F00"/>
                <w:sz w:val="22"/>
                <w:szCs w:val="22"/>
              </w:rPr>
              <w:t xml:space="preserve">Objetivo del sprint</w:t>
            </w:r>
          </w:p>
          <w:p>
            <w:pPr>
              <w:spacing w:after="60" w:before="60"/>
            </w:pPr>
            <w:r>
              <w:rPr>
                <w:rFonts w:ascii="Arial" w:cs="Arial" w:eastAsia="Arial" w:hAnsi="Arial"/>
                <w:b w:val="false"/>
                <w:bCs w:val="false"/>
                <w:color w:val="1F1F1F"/>
                <w:sz w:val="22"/>
                <w:szCs w:val="22"/>
              </w:rPr>
              <w:t xml:space="preserve">Una vez la telemetría está activa, construir el optimizer encima. En paralelo, abordar items de integration que requieren coordinación cross-team.</w:t>
            </w:r>
          </w:p>
        </w:tc>
      </w:tr>
    </w:tbl>
    <w:p>
      <w:pPr>
        <w:pStyle w:val="ListParagraph"/>
        <w:numPr>
          <w:ilvl w:val="0"/>
          <w:numId w:val="2"/>
        </w:numPr>
        <w:spacing w:after="40" w:before="40"/>
      </w:pPr>
      <w:r>
        <w:rPr>
          <w:rFonts w:ascii="Arial" w:cs="Arial" w:eastAsia="Arial" w:hAnsi="Arial"/>
          <w:b/>
          <w:bCs/>
          <w:color w:val="BF8F00"/>
          <w:sz w:val="22"/>
          <w:szCs w:val="22"/>
        </w:rPr>
        <w:t xml:space="preserve">FEAT-G · Intelligent Model Routing Optimizer</w:t>
      </w:r>
      <w:r>
        <w:rPr>
          <w:rFonts w:ascii="Arial" w:cs="Arial" w:eastAsia="Arial" w:hAnsi="Arial"/>
          <w:b w:val="false"/>
          <w:bCs w:val="false"/>
          <w:color w:val="1F1F1F"/>
          <w:sz w:val="22"/>
          <w:szCs w:val="22"/>
        </w:rPr>
        <w:t xml:space="preserve"> (#10): task taxonomy YAML + cost-performance leaderboard semanal + auto-routing integration en LLMConfig.resolve. Depende de FEAT-D. Owner: AI Eng.</w:t>
      </w:r>
    </w:p>
    <w:p>
      <w:pPr>
        <w:pStyle w:val="ListParagraph"/>
        <w:numPr>
          <w:ilvl w:val="0"/>
          <w:numId w:val="2"/>
        </w:numPr>
        <w:spacing w:after="40" w:before="40"/>
      </w:pPr>
      <w:r>
        <w:rPr>
          <w:rFonts w:ascii="Arial" w:cs="Arial" w:eastAsia="Arial" w:hAnsi="Arial"/>
          <w:b/>
          <w:bCs/>
          <w:color w:val="2E75B6"/>
          <w:sz w:val="22"/>
          <w:szCs w:val="22"/>
        </w:rPr>
        <w:t xml:space="preserve">FEAT-H · Cross-Agent Data Product Catalog Service</w:t>
      </w:r>
      <w:r>
        <w:rPr>
          <w:rFonts w:ascii="Arial" w:cs="Arial" w:eastAsia="Arial" w:hAnsi="Arial"/>
          <w:b w:val="false"/>
          <w:bCs w:val="false"/>
          <w:color w:val="1F1F1F"/>
          <w:sz w:val="22"/>
          <w:szCs w:val="22"/>
        </w:rPr>
        <w:t xml:space="preserve"> (#9): service cross-cutting que indexa DatasetManager de todos los agentes + REST API discovery + SLA dashboards. Owner: Platform Eng.</w:t>
      </w:r>
    </w:p>
    <w:p>
      <w:pPr>
        <w:pStyle w:val="ListParagraph"/>
        <w:numPr>
          <w:ilvl w:val="0"/>
          <w:numId w:val="2"/>
        </w:numPr>
        <w:spacing w:after="40" w:before="40"/>
      </w:pPr>
      <w:r>
        <w:rPr>
          <w:rFonts w:ascii="Arial" w:cs="Arial" w:eastAsia="Arial" w:hAnsi="Arial"/>
          <w:b/>
          <w:bCs/>
          <w:color w:val="2E75B6"/>
          <w:sz w:val="22"/>
          <w:szCs w:val="22"/>
        </w:rPr>
        <w:t xml:space="preserve">FEAT-I · Federated Operating Model docs + RACI</w:t>
      </w:r>
      <w:r>
        <w:rPr>
          <w:rFonts w:ascii="Arial" w:cs="Arial" w:eastAsia="Arial" w:hAnsi="Arial"/>
          <w:b w:val="false"/>
          <w:bCs w:val="false"/>
          <w:color w:val="1F1F1F"/>
          <w:sz w:val="22"/>
          <w:szCs w:val="22"/>
        </w:rPr>
        <w:t xml:space="preserve"> (#11): documentar RACI, formalizar SLA del production readiness review (5-day), arrancar agent community of practice. Owner: Engineering Leadership.</w:t>
      </w:r>
    </w:p>
    <w:p>
      <w:pPr>
        <w:pStyle w:val="Heading2"/>
        <w:spacing w:after="160" w:before="280"/>
      </w:pPr>
      <w:r>
        <w:rPr>
          <w:rFonts w:ascii="Arial" w:cs="Arial" w:eastAsia="Arial" w:hAnsi="Arial"/>
          <w:b/>
          <w:bCs/>
          <w:color w:val="264653"/>
          <w:sz w:val="28"/>
          <w:szCs w:val="28"/>
        </w:rPr>
        <w:t xml:space="preserve">Sprint 7-12 (meses 4-6): Activation Layer + Long-Track</w:t>
      </w:r>
    </w:p>
    <w:p>
      <w:pPr>
        <w:spacing w:after="60" w:before="60"/>
      </w:pPr>
      <w:r>
        <w:rPr>
          <w:rFonts w:ascii="Arial" w:cs="Arial" w:eastAsia="Arial" w:hAnsi="Arial"/>
          <w:b w:val="false"/>
          <w:bCs w:val="false"/>
          <w:color w:val="1F1F1F"/>
          <w:sz w:val="22"/>
          <w:szCs w:val="22"/>
        </w:rPr>
        <w:t xml:space="preserve">Después del Sprint 6, el setup técnico crítico está cerrado. Los siguientes sprints alimentan la palanca de continuous learning + tracks paralelos:</w:t>
      </w:r>
    </w:p>
    <w:p>
      <w:pPr>
        <w:pStyle w:val="ListParagraph"/>
        <w:numPr>
          <w:ilvl w:val="0"/>
          <w:numId w:val="2"/>
        </w:numPr>
        <w:spacing w:after="40" w:before="40"/>
      </w:pPr>
      <w:r>
        <w:rPr>
          <w:rFonts w:ascii="Arial" w:cs="Arial" w:eastAsia="Arial" w:hAnsi="Arial"/>
          <w:b/>
          <w:bCs/>
          <w:color w:val="BF8F00"/>
          <w:sz w:val="22"/>
          <w:szCs w:val="22"/>
        </w:rPr>
        <w:t xml:space="preserve">FEAT-J · Fine-Tuning Pipeline desde Episodes</w:t>
      </w:r>
      <w:r>
        <w:rPr>
          <w:rFonts w:ascii="Arial" w:cs="Arial" w:eastAsia="Arial" w:hAnsi="Arial"/>
          <w:b w:val="false"/>
          <w:bCs w:val="false"/>
          <w:color w:val="1F1F1F"/>
          <w:sz w:val="22"/>
          <w:szCs w:val="22"/>
        </w:rPr>
        <w:t xml:space="preserve"> (#16): exportar EpisodicMemory → datasets HF → fine-tune smaller models. Mensual data flywheel report. Owner: AI Eng + Data Eng.</w:t>
      </w:r>
    </w:p>
    <w:p>
      <w:pPr>
        <w:pStyle w:val="ListParagraph"/>
        <w:numPr>
          <w:ilvl w:val="0"/>
          <w:numId w:val="2"/>
        </w:numPr>
        <w:spacing w:after="40" w:before="40"/>
      </w:pPr>
      <w:r>
        <w:rPr>
          <w:rFonts w:ascii="Arial" w:cs="Arial" w:eastAsia="Arial" w:hAnsi="Arial"/>
          <w:b/>
          <w:bCs/>
          <w:color w:val="2E75B6"/>
          <w:sz w:val="22"/>
          <w:szCs w:val="22"/>
        </w:rPr>
        <w:t xml:space="preserve">FEAT-K · DX Polish bundle</w:t>
      </w:r>
      <w:r>
        <w:rPr>
          <w:rFonts w:ascii="Arial" w:cs="Arial" w:eastAsia="Arial" w:hAnsi="Arial"/>
          <w:b w:val="false"/>
          <w:bCs w:val="false"/>
          <w:color w:val="1F1F1F"/>
          <w:sz w:val="22"/>
          <w:szCs w:val="22"/>
        </w:rPr>
        <w:t xml:space="preserve"> (#12): Docker Compose stack + Visual debugger UI + scaffold CLI. Owner: Platform Eng + DX.</w:t>
      </w:r>
    </w:p>
    <w:p>
      <w:pPr>
        <w:pStyle w:val="ListParagraph"/>
        <w:numPr>
          <w:ilvl w:val="0"/>
          <w:numId w:val="2"/>
        </w:numPr>
        <w:spacing w:after="40" w:before="40"/>
      </w:pPr>
      <w:r>
        <w:rPr>
          <w:rFonts w:ascii="Arial" w:cs="Arial" w:eastAsia="Arial" w:hAnsi="Arial"/>
          <w:b/>
          <w:bCs/>
          <w:color w:val="2E75B6"/>
          <w:sz w:val="22"/>
          <w:szCs w:val="22"/>
        </w:rPr>
        <w:t xml:space="preserve">Track paralelo — Nav-admin No-Code Builder</w:t>
      </w:r>
      <w:r>
        <w:rPr>
          <w:rFonts w:ascii="Arial" w:cs="Arial" w:eastAsia="Arial" w:hAnsi="Arial"/>
          <w:b w:val="false"/>
          <w:bCs w:val="false"/>
          <w:color w:val="1F1F1F"/>
          <w:sz w:val="22"/>
          <w:szCs w:val="22"/>
        </w:rPr>
        <w:t xml:space="preserve"> (#7): SvelteKit canvas + agent catalog API. Owner: Frontend.</w:t>
      </w:r>
    </w:p>
    <w:p>
      <w:pPr>
        <w:pStyle w:val="ListParagraph"/>
        <w:numPr>
          <w:ilvl w:val="0"/>
          <w:numId w:val="2"/>
        </w:numPr>
        <w:spacing w:after="40" w:before="40"/>
      </w:pPr>
      <w:r>
        <w:rPr>
          <w:rFonts w:ascii="Arial" w:cs="Arial" w:eastAsia="Arial" w:hAnsi="Arial"/>
          <w:b/>
          <w:bCs/>
          <w:color w:val="7030A0"/>
          <w:sz w:val="22"/>
          <w:szCs w:val="22"/>
        </w:rPr>
        <w:t xml:space="preserve">Track paralelo — Org/Legal</w:t>
      </w:r>
      <w:r>
        <w:rPr>
          <w:rFonts w:ascii="Arial" w:cs="Arial" w:eastAsia="Arial" w:hAnsi="Arial"/>
          <w:b w:val="false"/>
          <w:bCs w:val="false"/>
          <w:color w:val="1F1F1F"/>
          <w:sz w:val="22"/>
          <w:szCs w:val="22"/>
        </w:rPr>
        <w:t xml:space="preserve"> (#8, #13, #14, #15): owner respectivo (NEXUS team, Operations, Leadership, Legal). No bloquean ingeniería.</w:t>
      </w:r>
    </w:p>
    <w:p>
      <w:r>
        <w:br w:type="page"/>
      </w:r>
    </w:p>
    <w:p>
      <w:pPr>
        <w:pStyle w:val="Heading1"/>
        <w:spacing w:after="200" w:before="360"/>
      </w:pPr>
      <w:r>
        <w:rPr>
          <w:rFonts w:ascii="Arial" w:cs="Arial" w:eastAsia="Arial" w:hAnsi="Arial"/>
          <w:b/>
          <w:bCs/>
          <w:color w:val="264653"/>
          <w:sz w:val="36"/>
          <w:szCs w:val="36"/>
        </w:rPr>
        <w:t xml:space="preserve">6. Cierre: Lo que el Delta Significa Estratégicamente</w:t>
      </w:r>
    </w:p>
    <w:p>
      <w:pPr>
        <w:spacing w:after="60" w:before="60"/>
      </w:pPr>
      <w:r>
        <w:rPr>
          <w:rFonts w:ascii="Arial" w:cs="Arial" w:eastAsia="Arial" w:hAnsi="Arial"/>
          <w:b w:val="false"/>
          <w:bCs w:val="false"/>
          <w:color w:val="1F1F1F"/>
          <w:sz w:val="22"/>
          <w:szCs w:val="22"/>
        </w:rPr>
        <w:t xml:space="preserve">Tres conclusiones que merecen quedar fijadas para conversaciones con stakeholders: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64653" w:sz="24"/>
              <w:bottom w:val="single" w:color="BFBFBF" w:sz="4"/>
              <w:right w:val="single" w:color="BFBFBF" w:sz="4"/>
            </w:tcBorders>
            <w:shd w:fill="E9EEF0" w:val="clear"/>
            <w:tcMar>
              <w:top w:type="dxa" w:w="160"/>
              <w:left w:type="dxa" w:w="200"/>
              <w:bottom w:type="dxa" w:w="160"/>
              <w:right w:type="dxa" w:w="200"/>
            </w:tcMar>
          </w:tcPr>
          <w:p>
            <w:pPr>
              <w:spacing w:after="80" w:before="0"/>
            </w:pPr>
            <w:r>
              <w:rPr>
                <w:rFonts w:ascii="Arial" w:cs="Arial" w:eastAsia="Arial" w:hAnsi="Arial"/>
                <w:b/>
                <w:bCs/>
                <w:color w:val="264653"/>
                <w:sz w:val="22"/>
                <w:szCs w:val="22"/>
              </w:rPr>
              <w:t xml:space="preserve">1. La narrativa McKinsey infrarrepresenta el código</w:t>
            </w:r>
          </w:p>
          <w:p>
            <w:pPr>
              <w:spacing w:after="60" w:before="60"/>
            </w:pPr>
            <w:r>
              <w:rPr>
                <w:rFonts w:ascii="Arial" w:cs="Arial" w:eastAsia="Arial" w:hAnsi="Arial"/>
                <w:b w:val="false"/>
                <w:bCs w:val="false"/>
                <w:color w:val="1F1F1F"/>
                <w:sz w:val="22"/>
                <w:szCs w:val="22"/>
              </w:rPr>
              <w:t xml:space="preserve">El reporte McKinsey lee como si AI-Parrot estuviera en fase de design. La realidad es que muchas de las primitivas críticas — permission framework con dos capas, ontology RAG layered, episodic memory con reflection engine, vendor-agnostic routing con unified usage tracking, 10+ data source types — ya están en producción. La conversación de inversión debe corregirse: Parrot no está construyendo, está operacionalizando.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64653" w:sz="24"/>
              <w:bottom w:val="single" w:color="BFBFBF" w:sz="4"/>
              <w:right w:val="single" w:color="BFBFBF" w:sz="4"/>
            </w:tcBorders>
            <w:shd w:fill="E9EEF0" w:val="clear"/>
            <w:tcMar>
              <w:top w:type="dxa" w:w="160"/>
              <w:left w:type="dxa" w:w="200"/>
              <w:bottom w:type="dxa" w:w="160"/>
              <w:right w:type="dxa" w:w="200"/>
            </w:tcMar>
          </w:tcPr>
          <w:p>
            <w:pPr>
              <w:spacing w:after="80" w:before="0"/>
            </w:pPr>
            <w:r>
              <w:rPr>
                <w:rFonts w:ascii="Arial" w:cs="Arial" w:eastAsia="Arial" w:hAnsi="Arial"/>
                <w:b/>
                <w:bCs/>
                <w:color w:val="264653"/>
                <w:sz w:val="22"/>
                <w:szCs w:val="22"/>
              </w:rPr>
              <w:t xml:space="preserve">2. El roadmap real es 3-4 meses, no 18</w:t>
            </w:r>
          </w:p>
          <w:p>
            <w:pPr>
              <w:spacing w:after="60" w:before="60"/>
            </w:pPr>
            <w:r>
              <w:rPr>
                <w:rFonts w:ascii="Arial" w:cs="Arial" w:eastAsia="Arial" w:hAnsi="Arial"/>
                <w:b w:val="false"/>
                <w:bCs w:val="false"/>
                <w:color w:val="1F1F1F"/>
                <w:sz w:val="22"/>
                <w:szCs w:val="22"/>
              </w:rPr>
              <w:t xml:space="preserve">El programa de 18 meses descrito por McKinsey asume que todo se construye desde cero. Con la base de código actual, el camino crítico técnico se cierra en 3-4 meses sobre 5-7 FEATs concretos. El resto de los 18 meses son tracks organizacionales paralelos (adoption, IP, governance) que no bloquean ingeniería.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264653" w:sz="24"/>
              <w:bottom w:val="single" w:color="BFBFBF" w:sz="4"/>
              <w:right w:val="single" w:color="BFBFBF" w:sz="4"/>
            </w:tcBorders>
            <w:shd w:fill="E9EEF0" w:val="clear"/>
            <w:tcMar>
              <w:top w:type="dxa" w:w="160"/>
              <w:left w:type="dxa" w:w="200"/>
              <w:bottom w:type="dxa" w:w="160"/>
              <w:right w:type="dxa" w:w="200"/>
            </w:tcMar>
          </w:tcPr>
          <w:p>
            <w:pPr>
              <w:spacing w:after="80" w:before="0"/>
            </w:pPr>
            <w:r>
              <w:rPr>
                <w:rFonts w:ascii="Arial" w:cs="Arial" w:eastAsia="Arial" w:hAnsi="Arial"/>
                <w:b/>
                <w:bCs/>
                <w:color w:val="264653"/>
                <w:sz w:val="22"/>
                <w:szCs w:val="22"/>
              </w:rPr>
              <w:t xml:space="preserve">3. La verdadera brecha es de activación, no de construcción</w:t>
            </w:r>
          </w:p>
          <w:p>
            <w:pPr>
              <w:spacing w:after="60" w:before="60"/>
            </w:pPr>
            <w:r>
              <w:rPr>
                <w:rFonts w:ascii="Arial" w:cs="Arial" w:eastAsia="Arial" w:hAnsi="Arial"/>
                <w:b w:val="false"/>
                <w:bCs w:val="false"/>
                <w:color w:val="1F1F1F"/>
                <w:sz w:val="22"/>
                <w:szCs w:val="22"/>
              </w:rPr>
              <w:t xml:space="preserve">El patrón repetitivo en el delta: datos se capturan correctamente (CompletionUsage, EpisodicMemory, AgentsFlow tracing, DatasetInfo) pero faltan las capas que los transforman en decisiones automatizadas (routing optimizer, prompt regression detection, fine-tuning pipeline). Construir esas capas es leveraged work — cada una activa value de la infraestructura ya pagada.</w:t>
            </w:r>
          </w:p>
        </w:tc>
      </w:tr>
    </w:tbl>
    <w:p>
      <w:pPr>
        <w:spacing w:after="160" w:before="0"/>
      </w:pPr>
      <w:r>
        <w:t xml:space="preserve"/>
      </w:r>
    </w:p>
    <w:p>
      <w:pPr>
        <w:pStyle w:val="Heading2"/>
        <w:spacing w:after="160" w:before="280"/>
      </w:pPr>
      <w:r>
        <w:rPr>
          <w:rFonts w:ascii="Arial" w:cs="Arial" w:eastAsia="Arial" w:hAnsi="Arial"/>
          <w:b/>
          <w:bCs/>
          <w:color w:val="264653"/>
          <w:sz w:val="28"/>
          <w:szCs w:val="28"/>
        </w:rPr>
        <w:t xml:space="preserve">Próximos pasos sugeridos</w:t>
      </w:r>
    </w:p>
    <w:p>
      <w:pPr>
        <w:pStyle w:val="ListParagraph"/>
        <w:numPr>
          <w:ilvl w:val="0"/>
          <w:numId w:val="2"/>
        </w:numPr>
        <w:spacing w:after="40" w:before="40"/>
      </w:pPr>
      <w:r>
        <w:rPr>
          <w:rFonts w:ascii="Arial" w:cs="Arial" w:eastAsia="Arial" w:hAnsi="Arial"/>
          <w:b/>
          <w:bCs/>
          <w:color w:val="1F1F1F"/>
          <w:sz w:val="22"/>
          <w:szCs w:val="22"/>
        </w:rPr>
        <w:t xml:space="preserve">Inmediato (esta semana): </w:t>
      </w:r>
      <w:r>
        <w:rPr>
          <w:rFonts w:ascii="Arial" w:cs="Arial" w:eastAsia="Arial" w:hAnsi="Arial"/>
          <w:b w:val="false"/>
          <w:bCs w:val="false"/>
          <w:color w:val="1F1F1F"/>
          <w:sz w:val="22"/>
          <w:szCs w:val="22"/>
        </w:rPr>
        <w:t xml:space="preserve">Compartir este delta con leadership; ajustar la narrativa pública (TWICE talks, customer pitches, investor decks) para reflejar el estado real del código vs. la versión McKinsey.</w:t>
      </w:r>
    </w:p>
    <w:p>
      <w:pPr>
        <w:pStyle w:val="ListParagraph"/>
        <w:numPr>
          <w:ilvl w:val="0"/>
          <w:numId w:val="2"/>
        </w:numPr>
        <w:spacing w:after="40" w:before="40"/>
      </w:pPr>
      <w:r>
        <w:rPr>
          <w:rFonts w:ascii="Arial" w:cs="Arial" w:eastAsia="Arial" w:hAnsi="Arial"/>
          <w:b/>
          <w:bCs/>
          <w:color w:val="1F1F1F"/>
          <w:sz w:val="22"/>
          <w:szCs w:val="22"/>
        </w:rPr>
        <w:t xml:space="preserve">Semana 1-2: </w:t>
      </w:r>
      <w:r>
        <w:rPr>
          <w:rFonts w:ascii="Arial" w:cs="Arial" w:eastAsia="Arial" w:hAnsi="Arial"/>
          <w:b w:val="false"/>
          <w:bCs w:val="false"/>
          <w:color w:val="1F1F1F"/>
          <w:sz w:val="22"/>
          <w:szCs w:val="22"/>
        </w:rPr>
        <w:t xml:space="preserve">Arrancar FEAT-A (Shadow Mode), FEAT-B (Retail Ontology YAML) y FEAT-C (Authority Tier Model) en paralelo. Tres brainstorms vía /sdd-brainstorm o /sdd-fromjira si los tickets ya existen.</w:t>
      </w:r>
    </w:p>
    <w:p>
      <w:pPr>
        <w:pStyle w:val="ListParagraph"/>
        <w:numPr>
          <w:ilvl w:val="0"/>
          <w:numId w:val="2"/>
        </w:numPr>
        <w:spacing w:after="40" w:before="40"/>
      </w:pPr>
      <w:r>
        <w:rPr>
          <w:rFonts w:ascii="Arial" w:cs="Arial" w:eastAsia="Arial" w:hAnsi="Arial"/>
          <w:b/>
          <w:bCs/>
          <w:color w:val="1F1F1F"/>
          <w:sz w:val="22"/>
          <w:szCs w:val="22"/>
        </w:rPr>
        <w:t xml:space="preserve">Semana 3: </w:t>
      </w:r>
      <w:r>
        <w:rPr>
          <w:rFonts w:ascii="Arial" w:cs="Arial" w:eastAsia="Arial" w:hAnsi="Arial"/>
          <w:b w:val="false"/>
          <w:bCs w:val="false"/>
          <w:color w:val="1F1F1F"/>
          <w:sz w:val="22"/>
          <w:szCs w:val="22"/>
        </w:rPr>
        <w:t xml:space="preserve">Revisar el delta con cada owner externo (#8 NEXUS, #13 Operations, #14 Leadership, #15 Legal) para que sus tracks arranquen en paralelo.</w:t>
      </w:r>
    </w:p>
    <w:p>
      <w:pPr>
        <w:pStyle w:val="ListParagraph"/>
        <w:numPr>
          <w:ilvl w:val="0"/>
          <w:numId w:val="2"/>
        </w:numPr>
        <w:spacing w:after="40" w:before="40"/>
      </w:pPr>
      <w:r>
        <w:rPr>
          <w:rFonts w:ascii="Arial" w:cs="Arial" w:eastAsia="Arial" w:hAnsi="Arial"/>
          <w:b/>
          <w:bCs/>
          <w:color w:val="1F1F1F"/>
          <w:sz w:val="22"/>
          <w:szCs w:val="22"/>
        </w:rPr>
        <w:t xml:space="preserve">Cadencia continua: </w:t>
      </w:r>
      <w:r>
        <w:rPr>
          <w:rFonts w:ascii="Arial" w:cs="Arial" w:eastAsia="Arial" w:hAnsi="Arial"/>
          <w:b w:val="false"/>
          <w:bCs w:val="false"/>
          <w:color w:val="1F1F1F"/>
          <w:sz w:val="22"/>
          <w:szCs w:val="22"/>
        </w:rPr>
        <w:t xml:space="preserve">Cada 2 semanas, ajustar este delta document según nuevos PRs mergeados. El delta es vivo, no estático.</w:t>
      </w:r>
    </w:p>
    <w:p>
      <w:pPr>
        <w:spacing w:after="240" w:before="0"/>
      </w:pPr>
      <w:r>
        <w:t xml:space="preserve"/>
      </w:r>
    </w:p>
    <w:p>
      <w:pPr>
        <w:spacing w:after="60" w:before="60"/>
        <w:jc w:val="center"/>
      </w:pPr>
      <w:r>
        <w:rPr>
          <w:rFonts w:ascii="Arial" w:cs="Arial" w:eastAsia="Arial" w:hAnsi="Arial"/>
          <w:b w:val="false"/>
          <w:bCs w:val="false"/>
          <w:color w:val="595959"/>
          <w:sz w:val="22"/>
          <w:szCs w:val="22"/>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T-ROC Global · Confidencial · Abril 2026</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AI-Parrot · Delta: McKinsey vs. Código Real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6465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64653"/>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2646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AI-Parrot — Delta: McKinsey vs. Código Real</dc:title>
  <dc:creator>AI-Parrot Team</dc:creator>
  <dc:description>Contraste entre el análisis McKinsey y la base de código actual de AI-Parrot, con roadmap concreto.</dc:description>
  <cp:lastModifiedBy>Un-named</cp:lastModifiedBy>
  <cp:revision>1</cp:revision>
  <dcterms:created xsi:type="dcterms:W3CDTF">2026-05-11T11:19:40.101Z</dcterms:created>
  <dcterms:modified xsi:type="dcterms:W3CDTF">2026-05-11T11:19:40.101Z</dcterms:modified>
</cp:coreProperties>
</file>

<file path=docProps/custom.xml><?xml version="1.0" encoding="utf-8"?>
<Properties xmlns="http://schemas.openxmlformats.org/officeDocument/2006/custom-properties" xmlns:vt="http://schemas.openxmlformats.org/officeDocument/2006/docPropsVTypes"/>
</file>