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jc w:val="left"/>
      </w:pPr>
      <w:r>
        <w:rPr>
          <w:rFonts w:ascii="Arial" w:cs="Arial" w:eastAsia="Arial" w:hAnsi="Arial"/>
          <w:b/>
          <w:bCs/>
          <w:color w:val="595959"/>
          <w:sz w:val="22"/>
          <w:szCs w:val="22"/>
        </w:rPr>
        <w:t xml:space="preserve">T-ROC GLOBAL</w:t>
      </w:r>
    </w:p>
    <w:p>
      <w:pPr>
        <w:spacing w:after="0" w:before="80"/>
      </w:pPr>
      <w:r>
        <w:rPr>
          <w:rFonts w:ascii="Arial" w:cs="Arial" w:eastAsia="Arial" w:hAnsi="Arial"/>
          <w:b/>
          <w:bCs/>
          <w:color w:val="1F4E79"/>
          <w:sz w:val="28"/>
          <w:szCs w:val="28"/>
        </w:rPr>
        <w:t xml:space="preserve">AI-Parrot Platform</w:t>
      </w:r>
    </w:p>
    <w:p>
      <w:pPr>
        <w:spacing w:after="0" w:before="240"/>
      </w:pPr>
      <w:r>
        <w:rPr>
          <w:rFonts w:ascii="Arial" w:cs="Arial" w:eastAsia="Arial" w:hAnsi="Arial"/>
          <w:b/>
          <w:bCs/>
          <w:color w:val="1F4E79"/>
          <w:sz w:val="56"/>
          <w:szCs w:val="56"/>
        </w:rPr>
        <w:t xml:space="preserve">Análisis de Brechas y Roadmap Priorizado</w:t>
      </w:r>
    </w:p>
    <w:p>
      <w:pPr>
        <w:spacing w:after="0" w:before="200"/>
      </w:pPr>
      <w:r>
        <w:rPr>
          <w:rFonts w:ascii="Arial" w:cs="Arial" w:eastAsia="Arial" w:hAnsi="Arial"/>
          <w:color w:val="595959"/>
          <w:sz w:val="28"/>
          <w:szCs w:val="28"/>
        </w:rPr>
        <w:t xml:space="preserve">Síntesis Ejecutiva del McKinsey Alignment Analysis</w:t>
      </w:r>
    </w:p>
    <w:p>
      <w:pPr>
        <w:spacing w:after="0" w:before="600"/>
      </w:pPr>
      <w:r>
        <w:rPr>
          <w:rFonts w:ascii="Arial" w:cs="Arial" w:eastAsia="Arial" w:hAnsi="Arial"/>
          <w:color w:val="1F4E79"/>
          <w:sz w:val="22"/>
          <w:szCs w:val="22"/>
        </w:rPr>
        <w:t xml:space="preserve">─────────────────────────────</w:t>
      </w:r>
    </w:p>
    <w:p>
      <w:pPr>
        <w:spacing w:after="0" w:before="200"/>
      </w:pPr>
      <w:r>
        <w:rPr>
          <w:rFonts w:ascii="Arial" w:cs="Arial" w:eastAsia="Arial" w:hAnsi="Arial"/>
          <w:color w:val="1F1F1F"/>
          <w:sz w:val="22"/>
          <w:szCs w:val="22"/>
        </w:rPr>
        <w:t xml:space="preserve">Métricas validadas · Liderazgo competitivo · Áreas de atención · Roadmap con semáforo de criticidad · Pipeline de brainstorms futuros</w:t>
      </w:r>
    </w:p>
    <w:p>
      <w:pPr>
        <w:spacing w:after="0" w:before="600"/>
      </w:pPr>
      <w:r>
        <w:rPr>
          <w:rFonts w:ascii="Arial" w:cs="Arial" w:eastAsia="Arial" w:hAnsi="Arial"/>
          <w:color w:val="595959"/>
          <w:sz w:val="20"/>
          <w:szCs w:val="20"/>
        </w:rPr>
        <w:t xml:space="preserve">Abril 2026  ·  Confidencial — Uso Interno T-ROC Global</w:t>
      </w:r>
    </w:p>
    <w:p>
      <w:r>
        <w:br w:type="page"/>
      </w:r>
    </w:p>
    <w:p>
      <w:pPr>
        <w:pStyle w:val="Heading1"/>
        <w:spacing w:after="200" w:before="360"/>
      </w:pPr>
      <w:r>
        <w:rPr>
          <w:rFonts w:ascii="Arial" w:cs="Arial" w:eastAsia="Arial" w:hAnsi="Arial"/>
          <w:b/>
          <w:bCs/>
          <w:color w:val="1F4E79"/>
          <w:sz w:val="36"/>
          <w:szCs w:val="36"/>
        </w:rPr>
        <w:t xml:space="preserve">1. Resumen Ejecutivo</w:t>
      </w:r>
    </w:p>
    <w:p>
      <w:pPr>
        <w:spacing w:after="60" w:before="60"/>
      </w:pPr>
      <w:r>
        <w:rPr>
          <w:rFonts w:ascii="Arial" w:cs="Arial" w:eastAsia="Arial" w:hAnsi="Arial"/>
          <w:color w:val="1F1F1F"/>
        </w:rPr>
        <w:t xml:space="preserve">Este documento sintetiza el McKinsey Alignment Analysis recientemente realizado sobre AI-Parrot, condensando el análisis de las 10 áreas estratégicas de McKinsey y las 16 recomendaciones de desarrollo en un formato accionable orientado a alimentar brainstorms futuros y construir un roadmap claro y priorizado para los próximos 18 meses.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Tesis central</w:t>
            </w:r>
          </w:p>
          <w:p>
            <w:pPr>
              <w:spacing w:after="40" w:before="40"/>
            </w:pPr>
            <w:r>
              <w:rPr>
                <w:rFonts w:ascii="Arial" w:cs="Arial" w:eastAsia="Arial" w:hAnsi="Arial"/>
                <w:color w:val="1F1F1F"/>
                <w:sz w:val="22"/>
                <w:szCs w:val="22"/>
              </w:rPr>
              <w:t xml:space="preserve">La arquitectura técnica de AI-Parrot está por delante de la mayoría de empresas perfiladas por McKinsey. Orquestación de modelos vendor-agnostic, ejecución DAG de workflows, coordinación multi-agente, e integración físico-digital vía Retail360 y NEXUS son diferenciadores competitivos genuinos.</w:t>
            </w:r>
          </w:p>
          <w:p>
            <w:pPr>
              <w:spacing w:after="40" w:before="40"/>
            </w:pPr>
            <w:r>
              <w:rPr>
                <w:rFonts w:ascii="Arial" w:cs="Arial" w:eastAsia="Arial" w:hAnsi="Arial"/>
                <w:color w:val="1F1F1F"/>
                <w:sz w:val="22"/>
                <w:szCs w:val="22"/>
              </w:rPr>
              <w:t xml:space="preserve">Las brechas no están en la tecnología — están en la arquitectura organizacional que debe operar a su alrededor. Cerrar las brechas de gobernanza, calidad de datos en upstream, y adopción con el mismo rigor aplicado al stack técnico es el desafío definitorio para los próximos 18 meses.</w:t>
            </w:r>
          </w:p>
        </w:tc>
      </w:tr>
    </w:tbl>
    <w:p>
      <w:pPr>
        <w:spacing w:after="120" w:before="0"/>
      </w:pPr>
      <w:r>
        <w:t xml:space="preserve"/>
      </w:r>
    </w:p>
    <w:p>
      <w:pPr>
        <w:spacing w:after="60" w:before="60"/>
      </w:pPr>
      <w:r>
        <w:rPr>
          <w:rFonts w:ascii="Arial" w:cs="Arial" w:eastAsia="Arial" w:hAnsi="Arial"/>
          <w:b/>
          <w:bCs/>
          <w:color w:val="1F1F1F"/>
        </w:rPr>
        <w:t xml:space="preserve">Contra las 10 áreas estratégicas evaluadas:</w:t>
      </w:r>
    </w:p>
    <w:p>
      <w:pPr>
        <w:pStyle w:val="ListParagraph"/>
        <w:numPr>
          <w:ilvl w:val="0"/>
          <w:numId w:val="2"/>
        </w:numPr>
        <w:spacing w:after="40" w:before="40"/>
      </w:pPr>
      <w:r>
        <w:rPr>
          <w:rFonts w:ascii="Arial" w:cs="Arial" w:eastAsia="Arial" w:hAnsi="Arial"/>
          <w:color w:val="1F1F1F"/>
          <w:sz w:val="22"/>
          <w:szCs w:val="22"/>
        </w:rPr>
        <w:t xml:space="preserve">2 áreas con Alineamiento Fuerte (workflows de alto impacto + economic leverage points)</w:t>
      </w:r>
    </w:p>
    <w:p>
      <w:pPr>
        <w:pStyle w:val="ListParagraph"/>
        <w:numPr>
          <w:ilvl w:val="0"/>
          <w:numId w:val="2"/>
        </w:numPr>
        <w:spacing w:after="40" w:before="40"/>
      </w:pPr>
      <w:r>
        <w:rPr>
          <w:rFonts w:ascii="Arial" w:cs="Arial" w:eastAsia="Arial" w:hAnsi="Arial"/>
          <w:color w:val="1F1F1F"/>
          <w:sz w:val="22"/>
          <w:szCs w:val="22"/>
        </w:rPr>
        <w:t xml:space="preserve">5 áreas con Alineamiento Parcial (la dimensión técnica está cubierta, las dimensiones organizacional o de gobernanza no)</w:t>
      </w:r>
    </w:p>
    <w:p>
      <w:pPr>
        <w:pStyle w:val="ListParagraph"/>
        <w:numPr>
          <w:ilvl w:val="0"/>
          <w:numId w:val="2"/>
        </w:numPr>
        <w:spacing w:after="40" w:before="40"/>
      </w:pPr>
      <w:r>
        <w:rPr>
          <w:rFonts w:ascii="Arial" w:cs="Arial" w:eastAsia="Arial" w:hAnsi="Arial"/>
          <w:color w:val="1F1F1F"/>
          <w:sz w:val="22"/>
          <w:szCs w:val="22"/>
        </w:rPr>
        <w:t xml:space="preserve">3 áreas con Brecha Material (modelo de gobernanza, trust &amp; safety, plan de adopción)</w:t>
      </w:r>
    </w:p>
    <w:p>
      <w:pPr>
        <w:spacing w:after="80" w:before="0"/>
      </w:pPr>
      <w:r>
        <w:t xml:space="preserve"/>
      </w:r>
    </w:p>
    <w:p>
      <w:pPr>
        <w:spacing w:after="60" w:before="60"/>
      </w:pPr>
      <w:r>
        <w:rPr>
          <w:rFonts w:ascii="Arial" w:cs="Arial" w:eastAsia="Arial" w:hAnsi="Arial"/>
          <w:b/>
          <w:bCs/>
          <w:color w:val="1F1F1F"/>
        </w:rPr>
        <w:t xml:space="preserve">Este documento extrae cuatro entregables del análisis y los reorganiza en una estructura accionable:</w:t>
      </w:r>
    </w:p>
    <w:p>
      <w:pPr>
        <w:pStyle w:val="ListParagraph"/>
        <w:numPr>
          <w:ilvl w:val="0"/>
          <w:numId w:val="2"/>
        </w:numPr>
        <w:spacing w:after="40" w:before="40"/>
      </w:pPr>
      <w:r>
        <w:rPr>
          <w:rFonts w:ascii="Arial" w:cs="Arial" w:eastAsia="Arial" w:hAnsi="Arial"/>
          <w:color w:val="1F1F1F"/>
          <w:sz w:val="22"/>
          <w:szCs w:val="22"/>
        </w:rPr>
        <w:t xml:space="preserve">Métricas clave validadas que respaldan la propuesta de valor de Parrot</w:t>
      </w:r>
    </w:p>
    <w:p>
      <w:pPr>
        <w:pStyle w:val="ListParagraph"/>
        <w:numPr>
          <w:ilvl w:val="0"/>
          <w:numId w:val="2"/>
        </w:numPr>
        <w:spacing w:after="40" w:before="40"/>
      </w:pPr>
      <w:r>
        <w:rPr>
          <w:rFonts w:ascii="Arial" w:cs="Arial" w:eastAsia="Arial" w:hAnsi="Arial"/>
          <w:color w:val="1F1F1F"/>
          <w:sz w:val="22"/>
          <w:szCs w:val="22"/>
        </w:rPr>
        <w:t xml:space="preserve">Estrategia de liderazgo: dónde Parrot supera a las alternativas del mercado</w:t>
      </w:r>
    </w:p>
    <w:p>
      <w:pPr>
        <w:pStyle w:val="ListParagraph"/>
        <w:numPr>
          <w:ilvl w:val="0"/>
          <w:numId w:val="2"/>
        </w:numPr>
        <w:spacing w:after="40" w:before="40"/>
      </w:pPr>
      <w:r>
        <w:rPr>
          <w:rFonts w:ascii="Arial" w:cs="Arial" w:eastAsia="Arial" w:hAnsi="Arial"/>
          <w:color w:val="1F1F1F"/>
          <w:sz w:val="22"/>
          <w:szCs w:val="22"/>
        </w:rPr>
        <w:t xml:space="preserve">Listado de áreas de atención con brecha material</w:t>
      </w:r>
    </w:p>
    <w:p>
      <w:pPr>
        <w:pStyle w:val="ListParagraph"/>
        <w:numPr>
          <w:ilvl w:val="0"/>
          <w:numId w:val="2"/>
        </w:numPr>
        <w:spacing w:after="40" w:before="40"/>
      </w:pPr>
      <w:r>
        <w:rPr>
          <w:rFonts w:ascii="Arial" w:cs="Arial" w:eastAsia="Arial" w:hAnsi="Arial"/>
          <w:color w:val="1F1F1F"/>
          <w:sz w:val="22"/>
          <w:szCs w:val="22"/>
        </w:rPr>
        <w:t xml:space="preserve">Listado de áreas con alineamiento parcial o menor</w:t>
      </w:r>
    </w:p>
    <w:p>
      <w:pPr>
        <w:spacing w:after="60" w:before="60"/>
      </w:pPr>
      <w:r>
        <w:rPr>
          <w:rFonts w:ascii="Arial" w:cs="Arial" w:eastAsia="Arial" w:hAnsi="Arial"/>
          <w:color w:val="1F1F1F"/>
        </w:rPr>
        <w:t xml:space="preserve">Y a partir de ahí, traduce las 16 recomendaciones de desarrollo en un semáforo de cinco niveles (critical · high · major · minor · improvement), ordenado por criticidad para definir los temas de los próximos brainstorms.</w:t>
      </w:r>
    </w:p>
    <w:p>
      <w:r>
        <w:br w:type="page"/>
      </w:r>
    </w:p>
    <w:p>
      <w:pPr>
        <w:pStyle w:val="Heading1"/>
        <w:spacing w:after="200" w:before="360"/>
      </w:pPr>
      <w:r>
        <w:rPr>
          <w:rFonts w:ascii="Arial" w:cs="Arial" w:eastAsia="Arial" w:hAnsi="Arial"/>
          <w:b/>
          <w:bCs/>
          <w:color w:val="1F4E79"/>
          <w:sz w:val="36"/>
          <w:szCs w:val="36"/>
        </w:rPr>
        <w:t xml:space="preserve">2. Métricas Clave Validadas de AI-Parrot</w:t>
      </w:r>
    </w:p>
    <w:p>
      <w:pPr>
        <w:spacing w:after="60" w:before="60"/>
      </w:pPr>
      <w:r>
        <w:rPr>
          <w:rFonts w:ascii="Arial" w:cs="Arial" w:eastAsia="Arial" w:hAnsi="Arial"/>
          <w:color w:val="1F1F1F"/>
        </w:rPr>
        <w:t xml:space="preserve">Las siguientes métricas son las extraídas del análisis McKinsey y representan los puntos de validación externa e interna más fuertes que respaldan la posición competitiva de la plataforma. Son el material de base para narrativa de inversión, posicionamiento de ventas, y justificación interna de roadmap.</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660"/>
        <w:gridCol w:w="2500"/>
      </w:tblGrid>
      <w:tr>
        <w:trPr>
          <w:tblHeader/>
        </w:trPr>
        <w:tc>
          <w:tcPr>
            <w:tcW w:type="dxa" w:w="22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Categoría</w:t>
            </w:r>
          </w:p>
        </w:tc>
        <w:tc>
          <w:tcPr>
            <w:tcW w:type="dxa" w:w="46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Métrica</w:t>
            </w:r>
          </w:p>
        </w:tc>
        <w:tc>
          <w:tcPr>
            <w:tcW w:type="dxa" w:w="2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Valor</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Escala</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Procesos ETL/ELT orquestados</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2,500+</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Escala</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APIs orquestadas (entorno híbrido)</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5,000+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Performance</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Reducción de time-to-insight (vía Kinesis streaming)</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48 horas → &lt; 5 minutos</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Impacto Negocio</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Aumento de comisiones de brand ambassadors (InSight)</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+25 a 35%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Validación AWS</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Madurez de integración AI/ML</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 / 5</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Reconocimiento</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TWICE VIP Award (Retail360) — Innovation in Retail Technology</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2025</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Recuperación</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Field sales recovery target (objetivo anual de recuperación)</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$12M</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Eficiencia</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Reducción de OPEX vía Labor Inverse / NEXUS automation</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Valor Empresarial</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Expansión de múltiplo EBITDA (servicios legacy → plataforma agentic)</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4–6x → 15–30x+</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Conectividad</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LLMs unificados via vendor-agnostic routing</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300+ modelos</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Conectividad</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Reducción de latencia de integración (MCP / QUIC / HTTP3)</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−40%</w:t>
            </w:r>
          </w:p>
        </w:tc>
      </w:tr>
      <w:tr>
        <w:trPr>
          <w:tblHeader w:val="false"/>
        </w:trPr>
        <w:tc>
          <w:tcPr>
            <w:tcW w:type="dxa" w:w="22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Servicios externos</w:t>
            </w:r>
          </w:p>
        </w:tc>
        <w:tc>
          <w:tcPr>
            <w:tcW w:type="dxa" w:w="46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Servicios externos consumidos vía MCP Client</w:t>
            </w:r>
          </w:p>
        </w:tc>
        <w:tc>
          <w:tcPr>
            <w:tcW w:type="dxa" w:w="25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100+</w:t>
            </w:r>
          </w:p>
        </w:tc>
      </w:tr>
      <w:tr>
        <w:trPr>
          <w:tblHeader w:val="false"/>
        </w:trPr>
        <w:tc>
          <w:tcPr>
            <w:tcW w:type="dxa" w:w="2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Operacional</w:t>
            </w:r>
          </w:p>
        </w:tc>
        <w:tc>
          <w:tcPr>
            <w:tcW w:type="dxa" w:w="46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Uptime objetivo NEXUS</w:t>
            </w:r>
          </w:p>
        </w:tc>
        <w:tc>
          <w:tcPr>
            <w:tcW w:type="dxa" w:w="25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99.9%</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Lectura estratégica de las métricas</w:t>
            </w:r>
          </w:p>
          <w:p>
            <w:pPr>
              <w:spacing w:after="40" w:before="40"/>
            </w:pPr>
            <w:r>
              <w:rPr>
                <w:rFonts w:ascii="Arial" w:cs="Arial" w:eastAsia="Arial" w:hAnsi="Arial"/>
                <w:color w:val="1F1F1F"/>
                <w:sz w:val="22"/>
                <w:szCs w:val="22"/>
              </w:rPr>
              <w:t xml:space="preserve">El score AWS 4/5 en AI/ML no es un trofeo de participación: refleja una plataforma operando ya a escala empresarial. Es la base externa más sólida para defender la madurez técnica frente a stakeholders e inversores.</w:t>
            </w:r>
          </w:p>
          <w:p>
            <w:pPr>
              <w:spacing w:after="40" w:before="40"/>
            </w:pPr>
            <w:r>
              <w:rPr>
                <w:rFonts w:ascii="Arial" w:cs="Arial" w:eastAsia="Arial" w:hAnsi="Arial"/>
                <w:color w:val="1F1F1F"/>
                <w:sz w:val="22"/>
                <w:szCs w:val="22"/>
              </w:rPr>
              <w:t xml:space="preserve">El target de $12M de recuperación + el uplift de 25–35% en comisiones son los dos números que vinculan a Parrot con una narrativa de ROI human-measurable, distinguiéndolo del 'productivity theater' que McKinsey usa para descalificar proyectos AI superficiales.</w:t>
            </w:r>
          </w:p>
          <w:p>
            <w:pPr>
              <w:spacing w:after="40" w:before="40"/>
            </w:pPr>
            <w:r>
              <w:rPr>
                <w:rFonts w:ascii="Arial" w:cs="Arial" w:eastAsia="Arial" w:hAnsi="Arial"/>
                <w:color w:val="1F1F1F"/>
                <w:sz w:val="22"/>
                <w:szCs w:val="22"/>
              </w:rPr>
              <w:t xml:space="preserve">El múltiplo EBITDA 4–6x → 15–30x+ es el número que satisface la prueba McKinsey de 'value creation that moves the business', no incremental.</w:t>
            </w:r>
          </w:p>
        </w:tc>
      </w:tr>
    </w:tbl>
    <w:p>
      <w:r>
        <w:br w:type="page"/>
      </w:r>
    </w:p>
    <w:p>
      <w:pPr>
        <w:pStyle w:val="Heading1"/>
        <w:spacing w:after="200" w:before="360"/>
      </w:pPr>
      <w:r>
        <w:rPr>
          <w:rFonts w:ascii="Arial" w:cs="Arial" w:eastAsia="Arial" w:hAnsi="Arial"/>
          <w:b/>
          <w:bCs/>
          <w:color w:val="1F4E79"/>
          <w:sz w:val="36"/>
          <w:szCs w:val="36"/>
        </w:rPr>
        <w:t xml:space="preserve">3. Estrategia de Liderazgo: Dónde Parrot Supera a las Alternativas</w:t>
      </w:r>
    </w:p>
    <w:p>
      <w:pPr>
        <w:spacing w:after="60" w:before="60"/>
      </w:pPr>
      <w:r>
        <w:rPr>
          <w:rFonts w:ascii="Arial" w:cs="Arial" w:eastAsia="Arial" w:hAnsi="Arial"/>
          <w:color w:val="1F1F1F"/>
        </w:rPr>
        <w:t xml:space="preserve">Las dos áreas con Alineamiento Fuerte y los diferenciadores transversales identificados a lo largo del análisis definen la zona donde AI-Parrot está objetivamente delante del mercado y debe defender posición.</w:t>
      </w:r>
    </w:p>
    <w:p>
      <w:pPr>
        <w:pStyle w:val="Heading2"/>
        <w:spacing w:after="160" w:before="280"/>
      </w:pPr>
      <w:r>
        <w:rPr>
          <w:rFonts w:ascii="Arial" w:cs="Arial" w:eastAsia="Arial" w:hAnsi="Arial"/>
          <w:b/>
          <w:bCs/>
          <w:color w:val="1F4E79"/>
          <w:sz w:val="28"/>
          <w:szCs w:val="28"/>
        </w:rPr>
        <w:t xml:space="preserve">3.1 Identificación de Workflows de Alto Impacto (Strong Alignment)</w:t>
      </w:r>
    </w:p>
    <w:p>
      <w:pPr>
        <w:spacing w:after="60" w:before="60"/>
      </w:pPr>
      <w:r>
        <w:rPr>
          <w:rFonts w:ascii="Arial" w:cs="Arial" w:eastAsia="Arial" w:hAnsi="Arial"/>
          <w:color w:val="1F1F1F"/>
        </w:rPr>
        <w:t xml:space="preserve">T-ROC ha ejecutado esta recomendación de McKinsey con precisión: focaliza despliegues agentic iniciales en dominios discretos con mandato financiero claro y métricas medibles.</w:t>
      </w:r>
    </w:p>
    <w:p>
      <w:pPr>
        <w:pStyle w:val="ListParagraph"/>
        <w:numPr>
          <w:ilvl w:val="0"/>
          <w:numId w:val="2"/>
        </w:numPr>
        <w:spacing w:after="40" w:before="40"/>
      </w:pPr>
      <w:r>
        <w:rPr>
          <w:rFonts w:ascii="Arial" w:cs="Arial" w:eastAsia="Arial" w:hAnsi="Arial"/>
          <w:b/>
          <w:bCs/>
          <w:color w:val="1F1F1F"/>
          <w:sz w:val="22"/>
          <w:szCs w:val="22"/>
        </w:rPr>
        <w:t xml:space="preserve">Workflow textbook agentic end-to-end: </w:t>
      </w:r>
      <w:r>
        <w:rPr>
          <w:rFonts w:ascii="Arial" w:cs="Arial" w:eastAsia="Arial" w:hAnsi="Arial"/>
          <w:b w:val="false"/>
          <w:bCs w:val="false"/>
          <w:color w:val="1F1F1F"/>
          <w:sz w:val="22"/>
          <w:szCs w:val="22"/>
        </w:rPr>
        <w:t xml:space="preserve">detección de shelf vacío vía VisionIQ+ → dispatch autónomo de restocking vía AgentsFlow es exactamente el ideal de uso descrito por McKinsey.</w:t>
      </w:r>
    </w:p>
    <w:p>
      <w:pPr>
        <w:pStyle w:val="ListParagraph"/>
        <w:numPr>
          <w:ilvl w:val="0"/>
          <w:numId w:val="2"/>
        </w:numPr>
        <w:spacing w:after="40" w:before="40"/>
      </w:pPr>
      <w:r>
        <w:rPr>
          <w:rFonts w:ascii="Arial" w:cs="Arial" w:eastAsia="Arial" w:hAnsi="Arial"/>
          <w:b/>
          <w:bCs/>
          <w:color w:val="1F1F1F"/>
          <w:sz w:val="22"/>
          <w:szCs w:val="22"/>
        </w:rPr>
        <w:t xml:space="preserve">Dominio NEXUS Third Channel: </w:t>
      </w:r>
      <w:r>
        <w:rPr>
          <w:rFonts w:ascii="Arial" w:cs="Arial" w:eastAsia="Arial" w:hAnsi="Arial"/>
          <w:b w:val="false"/>
          <w:bCs w:val="false"/>
          <w:color w:val="1F1F1F"/>
          <w:sz w:val="22"/>
          <w:szCs w:val="22"/>
        </w:rPr>
        <w:t xml:space="preserve">alto impacto, métricas claras (uptime targets, conversion rates, DaaS revenue streams) — cumple el requisito de 'pilots dirigidos con métricas claras'.</w:t>
      </w:r>
    </w:p>
    <w:p>
      <w:pPr>
        <w:pStyle w:val="ListParagraph"/>
        <w:numPr>
          <w:ilvl w:val="0"/>
          <w:numId w:val="2"/>
        </w:numPr>
        <w:spacing w:after="40" w:before="40"/>
      </w:pPr>
      <w:r>
        <w:rPr>
          <w:rFonts w:ascii="Arial" w:cs="Arial" w:eastAsia="Arial" w:hAnsi="Arial"/>
          <w:b/>
          <w:bCs/>
          <w:color w:val="1F1F1F"/>
          <w:sz w:val="22"/>
          <w:szCs w:val="22"/>
        </w:rPr>
        <w:t xml:space="preserve">Anclaje de ROI específico: </w:t>
      </w:r>
      <w:r>
        <w:rPr>
          <w:rFonts w:ascii="Arial" w:cs="Arial" w:eastAsia="Arial" w:hAnsi="Arial"/>
          <w:b w:val="false"/>
          <w:bCs w:val="false"/>
          <w:color w:val="1F1F1F"/>
          <w:sz w:val="22"/>
          <w:szCs w:val="22"/>
        </w:rPr>
        <w:t xml:space="preserve">el target de $12M de revenue recovery coloca a T-ROC en la misma categoría que Freeport-McMoRan y Toyota citados por McKinsey por enfocarse en sus economic leverage points.</w:t>
      </w:r>
    </w:p>
    <w:p>
      <w:pPr>
        <w:pStyle w:val="ListParagraph"/>
        <w:numPr>
          <w:ilvl w:val="0"/>
          <w:numId w:val="2"/>
        </w:numPr>
        <w:spacing w:after="40" w:before="40"/>
      </w:pPr>
      <w:r>
        <w:rPr>
          <w:rFonts w:ascii="Arial" w:cs="Arial" w:eastAsia="Arial" w:hAnsi="Arial"/>
          <w:b/>
          <w:bCs/>
          <w:color w:val="1F1F1F"/>
          <w:sz w:val="22"/>
          <w:szCs w:val="22"/>
        </w:rPr>
        <w:t xml:space="preserve">Cobertura de los dos dominios top de adopción gen AI: </w:t>
      </w:r>
      <w:r>
        <w:rPr>
          <w:rFonts w:ascii="Arial" w:cs="Arial" w:eastAsia="Arial" w:hAnsi="Arial"/>
          <w:b w:val="false"/>
          <w:bCs w:val="false"/>
          <w:color w:val="1F1F1F"/>
          <w:sz w:val="22"/>
          <w:szCs w:val="22"/>
        </w:rPr>
        <w:t xml:space="preserve">marketing/sales (30%) y knowledge management (29%) — InSight platform y retail execution intelligence atacan ambos directamente.</w:t>
      </w:r>
    </w:p>
    <w:p>
      <w:pPr>
        <w:pStyle w:val="Heading2"/>
        <w:spacing w:after="160" w:before="280"/>
      </w:pPr>
      <w:r>
        <w:rPr>
          <w:rFonts w:ascii="Arial" w:cs="Arial" w:eastAsia="Arial" w:hAnsi="Arial"/>
          <w:b/>
          <w:bCs/>
          <w:color w:val="1F4E79"/>
          <w:sz w:val="28"/>
          <w:szCs w:val="28"/>
        </w:rPr>
        <w:t xml:space="preserve">3.2 Economic Leverage Points (Strong Alignment)</w:t>
      </w:r>
    </w:p>
    <w:p>
      <w:pPr>
        <w:spacing w:after="60" w:before="60"/>
      </w:pPr>
      <w:r>
        <w:rPr>
          <w:rFonts w:ascii="Arial" w:cs="Arial" w:eastAsia="Arial" w:hAnsi="Arial"/>
          <w:color w:val="1F1F1F"/>
        </w:rPr>
        <w:t xml:space="preserve">Esta es el área de alineamiento más fuerte. La narrativa financiera es específica, creíble e investor-grade — exactamente lo que McKinsey describe en sus empresas AI top performers.</w:t>
      </w:r>
    </w:p>
    <w:p>
      <w:pPr>
        <w:pStyle w:val="ListParagraph"/>
        <w:numPr>
          <w:ilvl w:val="0"/>
          <w:numId w:val="2"/>
        </w:numPr>
        <w:spacing w:after="40" w:before="40"/>
      </w:pPr>
      <w:r>
        <w:rPr>
          <w:rFonts w:ascii="Arial" w:cs="Arial" w:eastAsia="Arial" w:hAnsi="Arial"/>
          <w:b/>
          <w:bCs/>
          <w:color w:val="1F1F1F"/>
          <w:sz w:val="22"/>
          <w:szCs w:val="22"/>
        </w:rPr>
        <w:t xml:space="preserve">$12M latency-driven revenue loss: </w:t>
      </w:r>
      <w:r>
        <w:rPr>
          <w:rFonts w:ascii="Arial" w:cs="Arial" w:eastAsia="Arial" w:hAnsi="Arial"/>
          <w:b w:val="false"/>
          <w:bCs w:val="false"/>
          <w:color w:val="1F1F1F"/>
          <w:sz w:val="22"/>
          <w:szCs w:val="22"/>
        </w:rPr>
        <w:t xml:space="preserve">punto de palanca cuantificado y específico — no una 'mejora de eficiencia' vaga.</w:t>
      </w:r>
    </w:p>
    <w:p>
      <w:pPr>
        <w:pStyle w:val="ListParagraph"/>
        <w:numPr>
          <w:ilvl w:val="0"/>
          <w:numId w:val="2"/>
        </w:numPr>
        <w:spacing w:after="40" w:before="40"/>
      </w:pPr>
      <w:r>
        <w:rPr>
          <w:rFonts w:ascii="Arial" w:cs="Arial" w:eastAsia="Arial" w:hAnsi="Arial"/>
          <w:b/>
          <w:bCs/>
          <w:color w:val="1F1F1F"/>
          <w:sz w:val="22"/>
          <w:szCs w:val="22"/>
        </w:rPr>
        <w:t xml:space="preserve">40% OPEX reduction (Labor Inverse / NEXUS): </w:t>
      </w:r>
      <w:r>
        <w:rPr>
          <w:rFonts w:ascii="Arial" w:cs="Arial" w:eastAsia="Arial" w:hAnsi="Arial"/>
          <w:b w:val="false"/>
          <w:bCs w:val="false"/>
          <w:color w:val="1F1F1F"/>
          <w:sz w:val="22"/>
          <w:szCs w:val="22"/>
        </w:rPr>
        <w:t xml:space="preserve">mapea al uplift promedio de 20% EBITDA que McKinsey observa en líderes.</w:t>
      </w:r>
    </w:p>
    <w:p>
      <w:pPr>
        <w:pStyle w:val="ListParagraph"/>
        <w:numPr>
          <w:ilvl w:val="0"/>
          <w:numId w:val="2"/>
        </w:numPr>
        <w:spacing w:after="40" w:before="40"/>
      </w:pPr>
      <w:r>
        <w:rPr>
          <w:rFonts w:ascii="Arial" w:cs="Arial" w:eastAsia="Arial" w:hAnsi="Arial"/>
          <w:b/>
          <w:bCs/>
          <w:color w:val="1F1F1F"/>
          <w:sz w:val="22"/>
          <w:szCs w:val="22"/>
        </w:rPr>
        <w:t xml:space="preserve">Expansión de múltiplo EBITDA 4–6x → 15–30x+: </w:t>
      </w:r>
      <w:r>
        <w:rPr>
          <w:rFonts w:ascii="Arial" w:cs="Arial" w:eastAsia="Arial" w:hAnsi="Arial"/>
          <w:b w:val="false"/>
          <w:bCs w:val="false"/>
          <w:color w:val="1F1F1F"/>
          <w:sz w:val="22"/>
          <w:szCs w:val="22"/>
        </w:rPr>
        <w:t xml:space="preserve">satisface el requisito de creación de valor que 'moves the business', no incremental.</w:t>
      </w:r>
    </w:p>
    <w:p>
      <w:pPr>
        <w:pStyle w:val="ListParagraph"/>
        <w:numPr>
          <w:ilvl w:val="0"/>
          <w:numId w:val="2"/>
        </w:numPr>
        <w:spacing w:after="40" w:before="40"/>
      </w:pPr>
      <w:r>
        <w:rPr>
          <w:rFonts w:ascii="Arial" w:cs="Arial" w:eastAsia="Arial" w:hAnsi="Arial"/>
          <w:b/>
          <w:bCs/>
          <w:color w:val="1F1F1F"/>
          <w:sz w:val="22"/>
          <w:szCs w:val="22"/>
        </w:rPr>
        <w:t xml:space="preserve">Strategic Flywheel auto-financiado: </w:t>
      </w:r>
      <w:r>
        <w:rPr>
          <w:rFonts w:ascii="Arial" w:cs="Arial" w:eastAsia="Arial" w:hAnsi="Arial"/>
          <w:b w:val="false"/>
          <w:bCs w:val="false"/>
          <w:color w:val="1F1F1F"/>
          <w:sz w:val="22"/>
          <w:szCs w:val="22"/>
        </w:rPr>
        <w:t xml:space="preserve">consistente con el patrón McKinsey de 'sustained, stage-gated investments' que alcanzan breakeven en 1–2 años.</w:t>
      </w:r>
    </w:p>
    <w:p>
      <w:pPr>
        <w:pStyle w:val="ListParagraph"/>
        <w:numPr>
          <w:ilvl w:val="0"/>
          <w:numId w:val="2"/>
        </w:numPr>
        <w:spacing w:after="40" w:before="40"/>
      </w:pPr>
      <w:r>
        <w:rPr>
          <w:rFonts w:ascii="Arial" w:cs="Arial" w:eastAsia="Arial" w:hAnsi="Arial"/>
          <w:b/>
          <w:bCs/>
          <w:color w:val="1F1F1F"/>
          <w:sz w:val="22"/>
          <w:szCs w:val="22"/>
        </w:rPr>
        <w:t xml:space="preserve">25–35% commission uplift documentado en brand ambassadors: </w:t>
      </w:r>
      <w:r>
        <w:rPr>
          <w:rFonts w:ascii="Arial" w:cs="Arial" w:eastAsia="Arial" w:hAnsi="Arial"/>
          <w:b w:val="false"/>
          <w:bCs w:val="false"/>
          <w:color w:val="1F1F1F"/>
          <w:sz w:val="22"/>
          <w:szCs w:val="22"/>
        </w:rPr>
        <w:t xml:space="preserve">ROI human-measurable, lo que McKinsey usa para distinguir transformación AI genuina del 'productivity theater'.</w:t>
      </w:r>
    </w:p>
    <w:p>
      <w:pPr>
        <w:pStyle w:val="Heading2"/>
        <w:spacing w:after="160" w:before="280"/>
      </w:pPr>
      <w:r>
        <w:rPr>
          <w:rFonts w:ascii="Arial" w:cs="Arial" w:eastAsia="Arial" w:hAnsi="Arial"/>
          <w:b/>
          <w:bCs/>
          <w:color w:val="1F4E79"/>
          <w:sz w:val="28"/>
          <w:szCs w:val="28"/>
        </w:rPr>
        <w:t xml:space="preserve">3.3 Diferenciadores transversales identificados a lo largo del análisis</w:t>
      </w:r>
    </w:p>
    <w:p>
      <w:pPr>
        <w:spacing w:after="60" w:before="60"/>
      </w:pPr>
      <w:r>
        <w:rPr>
          <w:rFonts w:ascii="Arial" w:cs="Arial" w:eastAsia="Arial" w:hAnsi="Arial"/>
          <w:color w:val="1F1F1F"/>
        </w:rPr>
        <w:t xml:space="preserve">Más allá de las dos áreas con Strong rating, el análisis identifica capacidades específicas de AI-Parrot que constituyen ventajas defendibles frente a alternativas como Salesforce Agentforce, Microsoft Copilot Studio, LangChain/AutoGen y UiPath:</w:t>
      </w:r>
    </w:p>
    <w:p>
      <w:pPr>
        <w:pStyle w:val="ListParagraph"/>
        <w:numPr>
          <w:ilvl w:val="0"/>
          <w:numId w:val="2"/>
        </w:numPr>
        <w:spacing w:after="40" w:before="40"/>
      </w:pPr>
      <w:r>
        <w:rPr>
          <w:rFonts w:ascii="Arial" w:cs="Arial" w:eastAsia="Arial" w:hAnsi="Arial"/>
          <w:b/>
          <w:bCs/>
          <w:color w:val="1F1F1F"/>
          <w:sz w:val="22"/>
          <w:szCs w:val="22"/>
        </w:rPr>
        <w:t xml:space="preserve">Multi-layer vendor agnosticism: </w:t>
      </w:r>
      <w:r>
        <w:rPr>
          <w:rFonts w:ascii="Arial" w:cs="Arial" w:eastAsia="Arial" w:hAnsi="Arial"/>
          <w:b w:val="false"/>
          <w:bCs w:val="false"/>
          <w:color w:val="1F1F1F"/>
          <w:sz w:val="22"/>
          <w:szCs w:val="22"/>
        </w:rPr>
        <w:t xml:space="preserve">agnosticismo de hardware en NEXUS + agnosticismo de LLM en AI-Parrot. Es la estrategia ideal contra 'walled garden lock-in' que McKinsey explícitamente recomienda.</w:t>
      </w:r>
    </w:p>
    <w:p>
      <w:pPr>
        <w:pStyle w:val="ListParagraph"/>
        <w:numPr>
          <w:ilvl w:val="0"/>
          <w:numId w:val="2"/>
        </w:numPr>
        <w:spacing w:after="40" w:before="40"/>
      </w:pPr>
      <w:r>
        <w:rPr>
          <w:rFonts w:ascii="Arial" w:cs="Arial" w:eastAsia="Arial" w:hAnsi="Arial"/>
          <w:b/>
          <w:bCs/>
          <w:color w:val="1F1F1F"/>
          <w:sz w:val="22"/>
          <w:szCs w:val="22"/>
        </w:rPr>
        <w:t xml:space="preserve">OpenAPI auto-adapter: </w:t>
      </w:r>
      <w:r>
        <w:rPr>
          <w:rFonts w:ascii="Arial" w:cs="Arial" w:eastAsia="Arial" w:hAnsi="Arial"/>
          <w:b w:val="false"/>
          <w:bCs w:val="false"/>
          <w:color w:val="1F1F1F"/>
          <w:sz w:val="22"/>
          <w:szCs w:val="22"/>
        </w:rPr>
        <w:t xml:space="preserve">convierte décadas de IT legacy en herramientas AI-executable sin sprints de desarrollo custom — moat operacional difícil de replicar.</w:t>
      </w:r>
    </w:p>
    <w:p>
      <w:pPr>
        <w:pStyle w:val="ListParagraph"/>
        <w:numPr>
          <w:ilvl w:val="0"/>
          <w:numId w:val="2"/>
        </w:numPr>
        <w:spacing w:after="40" w:before="40"/>
      </w:pPr>
      <w:r>
        <w:rPr>
          <w:rFonts w:ascii="Arial" w:cs="Arial" w:eastAsia="Arial" w:hAnsi="Arial"/>
          <w:b/>
          <w:bCs/>
          <w:color w:val="1F1F1F"/>
          <w:sz w:val="22"/>
          <w:szCs w:val="22"/>
        </w:rPr>
        <w:t xml:space="preserve">100+ modelos open-source on-premise (Ollama / vLLM): </w:t>
      </w:r>
      <w:r>
        <w:rPr>
          <w:rFonts w:ascii="Arial" w:cs="Arial" w:eastAsia="Arial" w:hAnsi="Arial"/>
          <w:b w:val="false"/>
          <w:bCs w:val="false"/>
          <w:color w:val="1F1F1F"/>
          <w:sz w:val="22"/>
          <w:szCs w:val="22"/>
        </w:rPr>
        <w:t xml:space="preserve">elimina la exposición a pricing cloud para workloads sensibles, con implicaciones tanto de costo como de soberanía de datos.</w:t>
      </w:r>
    </w:p>
    <w:p>
      <w:pPr>
        <w:pStyle w:val="ListParagraph"/>
        <w:numPr>
          <w:ilvl w:val="0"/>
          <w:numId w:val="2"/>
        </w:numPr>
        <w:spacing w:after="40" w:before="40"/>
      </w:pPr>
      <w:r>
        <w:rPr>
          <w:rFonts w:ascii="Arial" w:cs="Arial" w:eastAsia="Arial" w:hAnsi="Arial"/>
          <w:b/>
          <w:bCs/>
          <w:color w:val="1F1F1F"/>
          <w:sz w:val="22"/>
          <w:szCs w:val="22"/>
        </w:rPr>
        <w:t xml:space="preserve">MCP + A2A protocols nativos: </w:t>
      </w:r>
      <w:r>
        <w:rPr>
          <w:rFonts w:ascii="Arial" w:cs="Arial" w:eastAsia="Arial" w:hAnsi="Arial"/>
          <w:b w:val="false"/>
          <w:bCs w:val="false"/>
          <w:color w:val="1F1F1F"/>
          <w:sz w:val="22"/>
          <w:szCs w:val="22"/>
        </w:rPr>
        <w:t xml:space="preserve">estándares de interoperabilidad entre agentes implementados de origen, no como capa retrofit. Posiciona a Parrot para ser hub de comunicación inter-organizacional, no isla.</w:t>
      </w:r>
    </w:p>
    <w:p>
      <w:pPr>
        <w:pStyle w:val="ListParagraph"/>
        <w:numPr>
          <w:ilvl w:val="0"/>
          <w:numId w:val="2"/>
        </w:numPr>
        <w:spacing w:after="40" w:before="40"/>
      </w:pPr>
      <w:r>
        <w:rPr>
          <w:rFonts w:ascii="Arial" w:cs="Arial" w:eastAsia="Arial" w:hAnsi="Arial"/>
          <w:b/>
          <w:bCs/>
          <w:color w:val="1F1F1F"/>
          <w:sz w:val="22"/>
          <w:szCs w:val="22"/>
        </w:rPr>
        <w:t xml:space="preserve">Estrategia IP híbrida (patente + trade secret): </w:t>
      </w:r>
      <w:r>
        <w:rPr>
          <w:rFonts w:ascii="Arial" w:cs="Arial" w:eastAsia="Arial" w:hAnsi="Arial"/>
          <w:b w:val="false"/>
          <w:bCs w:val="false"/>
          <w:color w:val="1F1F1F"/>
          <w:sz w:val="22"/>
          <w:szCs w:val="22"/>
        </w:rPr>
        <w:t xml:space="preserve">instinto correcto de moat de largo plazo — los 'visible edges' patentados, el 'secret sauce' protegido.</w:t>
      </w:r>
    </w:p>
    <w:p>
      <w:r>
        <w:br w:type="page"/>
      </w:r>
    </w:p>
    <w:p>
      <w:pPr>
        <w:pStyle w:val="Heading1"/>
        <w:spacing w:after="200" w:before="360"/>
      </w:pPr>
      <w:r>
        <w:rPr>
          <w:rFonts w:ascii="Arial" w:cs="Arial" w:eastAsia="Arial" w:hAnsi="Arial"/>
          <w:b/>
          <w:bCs/>
          <w:color w:val="1F4E79"/>
          <w:sz w:val="36"/>
          <w:szCs w:val="36"/>
        </w:rPr>
        <w:t xml:space="preserve">4. Áreas de Atención: Brechas Materiales (Gaps)</w:t>
      </w:r>
    </w:p>
    <w:p>
      <w:pPr>
        <w:spacing w:after="60" w:before="60"/>
      </w:pPr>
      <w:r>
        <w:rPr>
          <w:rFonts w:ascii="Arial" w:cs="Arial" w:eastAsia="Arial" w:hAnsi="Arial"/>
          <w:color w:val="1F1F1F"/>
        </w:rPr>
        <w:t xml:space="preserve">Las tres áreas con rating de Brecha Material en el scorecard McKinsey. Las tres son organizacionales, no técnicas — confirmando que la próxima fase de madurez de la plataforma es un desafío de transformación empresarial, no de ingeniería.</w:t>
      </w:r>
    </w:p>
    <w:p>
      <w:pPr>
        <w:pStyle w:val="Heading2"/>
        <w:spacing w:after="160" w:before="280"/>
      </w:pPr>
      <w:r>
        <w:rPr>
          <w:rFonts w:ascii="Arial" w:cs="Arial" w:eastAsia="Arial" w:hAnsi="Arial"/>
          <w:b/>
          <w:bCs/>
          <w:color w:val="1F4E79"/>
          <w:sz w:val="28"/>
          <w:szCs w:val="28"/>
        </w:rPr>
        <w:t xml:space="preserve">4.1 Modelo de Gobernanza y Operativo (Área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00000"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C00000"/>
                <w:sz w:val="22"/>
                <w:szCs w:val="22"/>
              </w:rPr>
              <w:t xml:space="preserve">Por qué es la brecha más significativa</w:t>
            </w:r>
          </w:p>
          <w:p>
            <w:pPr>
              <w:spacing w:after="40" w:before="40"/>
            </w:pPr>
            <w:r>
              <w:rPr>
                <w:rFonts w:ascii="Arial" w:cs="Arial" w:eastAsia="Arial" w:hAnsi="Arial"/>
                <w:color w:val="1F1F1F"/>
                <w:sz w:val="22"/>
                <w:szCs w:val="22"/>
              </w:rPr>
              <w:t xml:space="preserve">El propio survey de McKinsey ranquea 'operating model / talent' como el #1 roadblock para escalar agentic AI: 86% de empresas, por encima de data limitations (80%) y technology platform limitations (68%).</w:t>
            </w:r>
          </w:p>
          <w:p>
            <w:pPr>
              <w:spacing w:after="40" w:before="40"/>
            </w:pPr>
            <w:r>
              <w:rPr>
                <w:rFonts w:ascii="Arial" w:cs="Arial" w:eastAsia="Arial" w:hAnsi="Arial"/>
                <w:color w:val="1F1F1F"/>
                <w:sz w:val="22"/>
                <w:szCs w:val="22"/>
              </w:rPr>
              <w:t xml:space="preserve">Sin gobernanza explícita, la sofisticación técnica de AI-Parrot estará constreñida por ambigüedad organizacional.</w:t>
            </w:r>
          </w:p>
        </w:tc>
      </w:tr>
    </w:tbl>
    <w:p>
      <w:pPr>
        <w:spacing w:after="80" w:before="0"/>
      </w:pPr>
      <w:r>
        <w:t xml:space="preserve"/>
      </w:r>
    </w:p>
    <w:p>
      <w:pPr>
        <w:spacing w:after="60" w:before="60"/>
      </w:pPr>
      <w:r>
        <w:rPr>
          <w:rFonts w:ascii="Arial" w:cs="Arial" w:eastAsia="Arial" w:hAnsi="Arial"/>
          <w:b/>
          <w:bCs/>
          <w:color w:val="1F1F1F"/>
        </w:rPr>
        <w:t xml:space="preserve">Lo que ya existe en AI-Parrot:</w:t>
      </w:r>
    </w:p>
    <w:p>
      <w:pPr>
        <w:pStyle w:val="ListParagraph"/>
        <w:numPr>
          <w:ilvl w:val="0"/>
          <w:numId w:val="2"/>
        </w:numPr>
        <w:spacing w:after="40" w:before="40"/>
      </w:pPr>
      <w:r>
        <w:rPr>
          <w:rFonts w:ascii="Arial" w:cs="Arial" w:eastAsia="Arial" w:hAnsi="Arial"/>
          <w:color w:val="1F1F1F"/>
          <w:sz w:val="22"/>
          <w:szCs w:val="22"/>
        </w:rPr>
        <w:t xml:space="preserve">Human-in-the-loop checkpoints en AgentsFlow para workflows de alto riesgo</w:t>
      </w:r>
    </w:p>
    <w:p>
      <w:pPr>
        <w:pStyle w:val="ListParagraph"/>
        <w:numPr>
          <w:ilvl w:val="0"/>
          <w:numId w:val="2"/>
        </w:numPr>
        <w:spacing w:after="40" w:before="40"/>
      </w:pPr>
      <w:r>
        <w:rPr>
          <w:rFonts w:ascii="Arial" w:cs="Arial" w:eastAsia="Arial" w:hAnsi="Arial"/>
          <w:color w:val="1F1F1F"/>
          <w:sz w:val="22"/>
          <w:szCs w:val="22"/>
        </w:rPr>
        <w:t xml:space="preserve">Audit trails inmutables de toma de decisiones agente</w:t>
      </w:r>
    </w:p>
    <w:p>
      <w:pPr>
        <w:pStyle w:val="ListParagraph"/>
        <w:numPr>
          <w:ilvl w:val="0"/>
          <w:numId w:val="2"/>
        </w:numPr>
        <w:spacing w:after="40" w:before="40"/>
      </w:pPr>
      <w:r>
        <w:rPr>
          <w:rFonts w:ascii="Arial" w:cs="Arial" w:eastAsia="Arial" w:hAnsi="Arial"/>
          <w:color w:val="1F1F1F"/>
          <w:sz w:val="22"/>
          <w:szCs w:val="22"/>
        </w:rPr>
        <w:t xml:space="preserve">Role-based credential issuance — los agentes tienen identidades, no solo funciones</w:t>
      </w:r>
    </w:p>
    <w:p>
      <w:pPr>
        <w:spacing w:after="60" w:before="60"/>
      </w:pPr>
      <w:r>
        <w:rPr>
          <w:rFonts w:ascii="Arial" w:cs="Arial" w:eastAsia="Arial" w:hAnsi="Arial"/>
          <w:b/>
          <w:bCs/>
          <w:color w:val="1F1F1F"/>
        </w:rPr>
        <w:t xml:space="preserve">Lo que falta y McKinsey requiere:</w:t>
      </w:r>
    </w:p>
    <w:p>
      <w:pPr>
        <w:pStyle w:val="ListParagraph"/>
        <w:numPr>
          <w:ilvl w:val="0"/>
          <w:numId w:val="2"/>
        </w:numPr>
        <w:spacing w:after="40" w:before="40"/>
      </w:pPr>
      <w:r>
        <w:rPr>
          <w:rFonts w:ascii="Arial" w:cs="Arial" w:eastAsia="Arial" w:hAnsi="Arial"/>
          <w:color w:val="1F1F1F"/>
          <w:sz w:val="22"/>
          <w:szCs w:val="22"/>
        </w:rPr>
        <w:t xml:space="preserve">Modelo de gobernanza federado: definir quién owns gobernanza día-a-día en Retail360 vs. NEXUS vs. Shoply vs. AI Concierges</w:t>
      </w:r>
    </w:p>
    <w:p>
      <w:pPr>
        <w:pStyle w:val="ListParagraph"/>
        <w:numPr>
          <w:ilvl w:val="0"/>
          <w:numId w:val="2"/>
        </w:numPr>
        <w:spacing w:after="40" w:before="40"/>
      </w:pPr>
      <w:r>
        <w:rPr>
          <w:rFonts w:ascii="Arial" w:cs="Arial" w:eastAsia="Arial" w:hAnsi="Arial"/>
          <w:color w:val="1F1F1F"/>
          <w:sz w:val="22"/>
          <w:szCs w:val="22"/>
        </w:rPr>
        <w:t xml:space="preserve">Framework de políticas explícito: límites de autoridad agente, escalation triggers, data access boundaries por rol y dominio</w:t>
      </w:r>
    </w:p>
    <w:p>
      <w:pPr>
        <w:pStyle w:val="ListParagraph"/>
        <w:numPr>
          <w:ilvl w:val="0"/>
          <w:numId w:val="2"/>
        </w:numPr>
        <w:spacing w:after="40" w:before="40"/>
      </w:pPr>
      <w:r>
        <w:rPr>
          <w:rFonts w:ascii="Arial" w:cs="Arial" w:eastAsia="Arial" w:hAnsi="Arial"/>
          <w:color w:val="1F1F1F"/>
          <w:sz w:val="22"/>
          <w:szCs w:val="22"/>
        </w:rPr>
        <w:t xml:space="preserve">Concepto de "guardrail agent": agentes de compliance dedicados que monitorean otros agentes en runtime y disparan acciones correctivas</w:t>
      </w:r>
    </w:p>
    <w:p>
      <w:pPr>
        <w:pStyle w:val="ListParagraph"/>
        <w:numPr>
          <w:ilvl w:val="0"/>
          <w:numId w:val="2"/>
        </w:numPr>
        <w:spacing w:after="40" w:before="40"/>
      </w:pPr>
      <w:r>
        <w:rPr>
          <w:rFonts w:ascii="Arial" w:cs="Arial" w:eastAsia="Arial" w:hAnsi="Arial"/>
          <w:color w:val="1F1F1F"/>
          <w:sz w:val="22"/>
          <w:szCs w:val="22"/>
        </w:rPr>
        <w:t xml:space="preserve">Plan de change management para Labor Inverse — articulado como estrategia financiera, sin acompañamiento de transición de personas</w:t>
      </w:r>
    </w:p>
    <w:p>
      <w:pPr>
        <w:pStyle w:val="Heading2"/>
        <w:spacing w:after="160" w:before="280"/>
      </w:pPr>
      <w:r>
        <w:rPr>
          <w:rFonts w:ascii="Arial" w:cs="Arial" w:eastAsia="Arial" w:hAnsi="Arial"/>
          <w:b/>
          <w:bCs/>
          <w:color w:val="1F4E79"/>
          <w:sz w:val="28"/>
          <w:szCs w:val="28"/>
        </w:rPr>
        <w:t xml:space="preserve">4.2 Trust, Safety y Risk Controls (Área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00000"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C00000"/>
                <w:sz w:val="22"/>
                <w:szCs w:val="22"/>
              </w:rPr>
              <w:t xml:space="preserve">Cita McKinsey</w:t>
            </w:r>
          </w:p>
          <w:p>
            <w:pPr>
              <w:spacing w:after="40" w:before="40"/>
            </w:pPr>
            <w:r>
              <w:rPr>
                <w:rFonts w:ascii="Arial" w:cs="Arial" w:eastAsia="Arial" w:hAnsi="Arial"/>
                <w:color w:val="1F1F1F"/>
                <w:sz w:val="22"/>
                <w:szCs w:val="22"/>
              </w:rPr>
              <w:t xml:space="preserve">"The excitement for agentic AI may be getting ahead of companies' ability to manage the more complex risks." La infraestructura técnica de auditabilidad es sólida, pero no hay framework formal de riesgo, metodología de red-teaming, ni gobernanza de consumer trust descrita para la capa agentic.</w:t>
            </w:r>
          </w:p>
        </w:tc>
      </w:tr>
    </w:tbl>
    <w:p>
      <w:pPr>
        <w:spacing w:after="80" w:before="0"/>
      </w:pPr>
      <w:r>
        <w:t xml:space="preserve"/>
      </w:r>
    </w:p>
    <w:p>
      <w:pPr>
        <w:spacing w:after="60" w:before="60"/>
      </w:pPr>
      <w:r>
        <w:rPr>
          <w:rFonts w:ascii="Arial" w:cs="Arial" w:eastAsia="Arial" w:hAnsi="Arial"/>
          <w:b/>
          <w:bCs/>
          <w:color w:val="1F1F1F"/>
        </w:rPr>
        <w:t xml:space="preserve">Lo que existe:</w:t>
      </w:r>
    </w:p>
    <w:p>
      <w:pPr>
        <w:pStyle w:val="ListParagraph"/>
        <w:numPr>
          <w:ilvl w:val="0"/>
          <w:numId w:val="2"/>
        </w:numPr>
        <w:spacing w:after="40" w:before="40"/>
      </w:pPr>
      <w:r>
        <w:rPr>
          <w:rFonts w:ascii="Arial" w:cs="Arial" w:eastAsia="Arial" w:hAnsi="Arial"/>
          <w:color w:val="1F1F1F"/>
          <w:sz w:val="22"/>
          <w:szCs w:val="22"/>
        </w:rPr>
        <w:t xml:space="preserve">Execution tracing y audit logs inmutables en AgentsFlow</w:t>
      </w:r>
    </w:p>
    <w:p>
      <w:pPr>
        <w:pStyle w:val="ListParagraph"/>
        <w:numPr>
          <w:ilvl w:val="0"/>
          <w:numId w:val="2"/>
        </w:numPr>
        <w:spacing w:after="40" w:before="40"/>
      </w:pPr>
      <w:r>
        <w:rPr>
          <w:rFonts w:ascii="Arial" w:cs="Arial" w:eastAsia="Arial" w:hAnsi="Arial"/>
          <w:color w:val="1F1F1F"/>
          <w:sz w:val="22"/>
          <w:szCs w:val="22"/>
        </w:rPr>
        <w:t xml:space="preserve">HITL checkpoints para approvals financieros y sign-offs estratégicos</w:t>
      </w:r>
    </w:p>
    <w:p>
      <w:pPr>
        <w:pStyle w:val="ListParagraph"/>
        <w:numPr>
          <w:ilvl w:val="0"/>
          <w:numId w:val="2"/>
        </w:numPr>
        <w:spacing w:after="40" w:before="40"/>
      </w:pPr>
      <w:r>
        <w:rPr>
          <w:rFonts w:ascii="Arial" w:cs="Arial" w:eastAsia="Arial" w:hAnsi="Arial"/>
          <w:color w:val="1F1F1F"/>
          <w:sz w:val="22"/>
          <w:szCs w:val="22"/>
        </w:rPr>
        <w:t xml:space="preserve">Credential issuance y access control</w:t>
      </w:r>
    </w:p>
    <w:p>
      <w:pPr>
        <w:spacing w:after="60" w:before="60"/>
      </w:pPr>
      <w:r>
        <w:rPr>
          <w:rFonts w:ascii="Arial" w:cs="Arial" w:eastAsia="Arial" w:hAnsi="Arial"/>
          <w:b/>
          <w:bCs/>
          <w:color w:val="1F1F1F"/>
        </w:rPr>
        <w:t xml:space="preserve">Lo que falta:</w:t>
      </w:r>
    </w:p>
    <w:p>
      <w:pPr>
        <w:pStyle w:val="ListParagraph"/>
        <w:numPr>
          <w:ilvl w:val="0"/>
          <w:numId w:val="2"/>
        </w:numPr>
        <w:spacing w:after="40" w:before="40"/>
      </w:pPr>
      <w:r>
        <w:rPr>
          <w:rFonts w:ascii="Arial" w:cs="Arial" w:eastAsia="Arial" w:hAnsi="Arial"/>
          <w:color w:val="1F1F1F"/>
          <w:sz w:val="22"/>
          <w:szCs w:val="22"/>
        </w:rPr>
        <w:t xml:space="preserve">Taxonomía explícita de riesgo agentic: hallucination en multi-hop reasoning, agent scope creep, errores cascading multi-agente, irreversible action risk en physical execution</w:t>
      </w:r>
    </w:p>
    <w:p>
      <w:pPr>
        <w:pStyle w:val="ListParagraph"/>
        <w:numPr>
          <w:ilvl w:val="0"/>
          <w:numId w:val="2"/>
        </w:numPr>
        <w:spacing w:after="40" w:before="40"/>
      </w:pPr>
      <w:r>
        <w:rPr>
          <w:rFonts w:ascii="Arial" w:cs="Arial" w:eastAsia="Arial" w:hAnsi="Arial"/>
          <w:color w:val="1F1F1F"/>
          <w:sz w:val="22"/>
          <w:szCs w:val="22"/>
        </w:rPr>
        <w:t xml:space="preserve">Framework pre-deployment de testing: red-teaming sistemático, edge-case simulation, shadow mode, DAG chaos testing</w:t>
      </w:r>
    </w:p>
    <w:p>
      <w:pPr>
        <w:pStyle w:val="ListParagraph"/>
        <w:numPr>
          <w:ilvl w:val="0"/>
          <w:numId w:val="2"/>
        </w:numPr>
        <w:spacing w:after="40" w:before="40"/>
      </w:pPr>
      <w:r>
        <w:rPr>
          <w:rFonts w:ascii="Arial" w:cs="Arial" w:eastAsia="Arial" w:hAnsi="Arial"/>
          <w:color w:val="1F1F1F"/>
          <w:sz w:val="22"/>
          <w:szCs w:val="22"/>
        </w:rPr>
        <w:t xml:space="preserve">Transparencia consumer-facing en NEXUS: el EU AI Act, las FTC guidelines y leyes estatales en US se mueven hacia disclosure obligatoria</w:t>
      </w:r>
    </w:p>
    <w:p>
      <w:pPr>
        <w:pStyle w:val="ListParagraph"/>
        <w:numPr>
          <w:ilvl w:val="0"/>
          <w:numId w:val="2"/>
        </w:numPr>
        <w:spacing w:after="40" w:before="40"/>
      </w:pPr>
      <w:r>
        <w:rPr>
          <w:rFonts w:ascii="Arial" w:cs="Arial" w:eastAsia="Arial" w:hAnsi="Arial"/>
          <w:color w:val="1F1F1F"/>
          <w:sz w:val="22"/>
          <w:szCs w:val="22"/>
        </w:rPr>
        <w:t xml:space="preserve">Privacy governance del modelo "Physical Cookie" / zero-party data — referenciado como oportunidad de negocio, no gobernado como requisito de compliance</w:t>
      </w:r>
    </w:p>
    <w:p>
      <w:pPr>
        <w:pStyle w:val="Heading2"/>
        <w:spacing w:after="160" w:before="280"/>
      </w:pPr>
      <w:r>
        <w:rPr>
          <w:rFonts w:ascii="Arial" w:cs="Arial" w:eastAsia="Arial" w:hAnsi="Arial"/>
          <w:b/>
          <w:bCs/>
          <w:color w:val="1F4E79"/>
          <w:sz w:val="28"/>
          <w:szCs w:val="28"/>
        </w:rPr>
        <w:t xml:space="preserve">4.3 Diseño para Adopción y Escala (Área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00000"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C00000"/>
                <w:sz w:val="22"/>
                <w:szCs w:val="22"/>
              </w:rPr>
              <w:t xml:space="preserve">El "last 50 feet" challenge</w:t>
            </w:r>
          </w:p>
          <w:p>
            <w:pPr>
              <w:spacing w:after="40" w:before="40"/>
            </w:pPr>
            <w:r>
              <w:rPr>
                <w:rFonts w:ascii="Arial" w:cs="Arial" w:eastAsia="Arial" w:hAnsi="Arial"/>
                <w:color w:val="1F1F1F"/>
                <w:sz w:val="22"/>
                <w:szCs w:val="22"/>
              </w:rPr>
              <w:t xml:space="preserve">McKinsey identifica adopción como "one of the hardest challenges". Los sistemas AI fracasan cuando los procesos adyacentes (upstream y downstream) se dejan sin cambiar.</w:t>
            </w:r>
          </w:p>
          <w:p>
            <w:pPr>
              <w:spacing w:after="40" w:before="40"/>
            </w:pPr>
            <w:r>
              <w:rPr>
                <w:rFonts w:ascii="Arial" w:cs="Arial" w:eastAsia="Arial" w:hAnsi="Arial"/>
                <w:color w:val="1F1F1F"/>
                <w:sz w:val="22"/>
                <w:szCs w:val="22"/>
              </w:rPr>
              <w:t xml:space="preserve">Incluso con detección near-real-time de shelf, si los procesos de field dispatch e inventory replenishment no se rediseñan alrededor de los outputs AI, los $12M de recuperación no se materializarán completamente.</w:t>
            </w:r>
          </w:p>
        </w:tc>
      </w:tr>
    </w:tbl>
    <w:p>
      <w:pPr>
        <w:spacing w:after="80" w:before="0"/>
      </w:pPr>
      <w:r>
        <w:t xml:space="preserve"/>
      </w:r>
    </w:p>
    <w:p>
      <w:pPr>
        <w:spacing w:after="60" w:before="60"/>
      </w:pPr>
      <w:r>
        <w:rPr>
          <w:rFonts w:ascii="Arial" w:cs="Arial" w:eastAsia="Arial" w:hAnsi="Arial"/>
          <w:b/>
          <w:bCs/>
          <w:color w:val="1F1F1F"/>
        </w:rPr>
        <w:t xml:space="preserve">Lo que existe:</w:t>
      </w:r>
    </w:p>
    <w:p>
      <w:pPr>
        <w:pStyle w:val="ListParagraph"/>
        <w:numPr>
          <w:ilvl w:val="0"/>
          <w:numId w:val="2"/>
        </w:numPr>
        <w:spacing w:after="40" w:before="40"/>
      </w:pPr>
      <w:r>
        <w:rPr>
          <w:rFonts w:ascii="Arial" w:cs="Arial" w:eastAsia="Arial" w:hAnsi="Arial"/>
          <w:color w:val="1F1F1F"/>
          <w:sz w:val="22"/>
          <w:szCs w:val="22"/>
        </w:rPr>
        <w:t xml:space="preserve">Arquitectura DAG modular de AgentsFlow + AgentCrew specialization — escalable horizontalmente por geografía y marca</w:t>
      </w:r>
    </w:p>
    <w:p>
      <w:pPr>
        <w:pStyle w:val="ListParagraph"/>
        <w:numPr>
          <w:ilvl w:val="0"/>
          <w:numId w:val="2"/>
        </w:numPr>
        <w:spacing w:after="40" w:before="40"/>
      </w:pPr>
      <w:r>
        <w:rPr>
          <w:rFonts w:ascii="Arial" w:cs="Arial" w:eastAsia="Arial" w:hAnsi="Arial"/>
          <w:color w:val="1F1F1F"/>
          <w:sz w:val="22"/>
          <w:szCs w:val="22"/>
        </w:rPr>
        <w:t xml:space="preserve">Notificación multi-canal (Teams, Slack, Telegram, WhatsApp) — los outputs llegan al usuario en su workflow existente</w:t>
      </w:r>
    </w:p>
    <w:p>
      <w:pPr>
        <w:spacing w:after="60" w:before="60"/>
      </w:pPr>
      <w:r>
        <w:rPr>
          <w:rFonts w:ascii="Arial" w:cs="Arial" w:eastAsia="Arial" w:hAnsi="Arial"/>
          <w:b/>
          <w:bCs/>
          <w:color w:val="1F1F1F"/>
        </w:rPr>
        <w:t xml:space="preserve">Lo que falta:</w:t>
      </w:r>
    </w:p>
    <w:p>
      <w:pPr>
        <w:pStyle w:val="ListParagraph"/>
        <w:numPr>
          <w:ilvl w:val="0"/>
          <w:numId w:val="2"/>
        </w:numPr>
        <w:spacing w:after="40" w:before="40"/>
      </w:pPr>
      <w:r>
        <w:rPr>
          <w:rFonts w:ascii="Arial" w:cs="Arial" w:eastAsia="Arial" w:hAnsi="Arial"/>
          <w:color w:val="1F1F1F"/>
          <w:sz w:val="22"/>
          <w:szCs w:val="22"/>
        </w:rPr>
        <w:t xml:space="preserve">Plan de adopción: cómo se onboardean field reps, store managers y brand ambassadors a workflows AI-driven (training, refuerzo, feedback)</w:t>
      </w:r>
    </w:p>
    <w:p>
      <w:pPr>
        <w:pStyle w:val="ListParagraph"/>
        <w:numPr>
          <w:ilvl w:val="0"/>
          <w:numId w:val="2"/>
        </w:numPr>
        <w:spacing w:after="40" w:before="40"/>
      </w:pPr>
      <w:r>
        <w:rPr>
          <w:rFonts w:ascii="Arial" w:cs="Arial" w:eastAsia="Arial" w:hAnsi="Arial"/>
          <w:color w:val="1F1F1F"/>
          <w:sz w:val="22"/>
          <w:szCs w:val="22"/>
        </w:rPr>
        <w:t xml:space="preserve">Adjacent process redesign: restocking, pricing, compliance, scheduling deben restructurarse alrededor de outputs AI</w:t>
      </w:r>
    </w:p>
    <w:p>
      <w:pPr>
        <w:pStyle w:val="ListParagraph"/>
        <w:numPr>
          <w:ilvl w:val="0"/>
          <w:numId w:val="2"/>
        </w:numPr>
        <w:spacing w:after="40" w:before="40"/>
      </w:pPr>
      <w:r>
        <w:rPr>
          <w:rFonts w:ascii="Arial" w:cs="Arial" w:eastAsia="Arial" w:hAnsi="Arial"/>
          <w:color w:val="1F1F1F"/>
          <w:sz w:val="22"/>
          <w:szCs w:val="22"/>
        </w:rPr>
        <w:t xml:space="preserve">Change management para shift de "reactive data review" a "proactive AI-triggered action"</w:t>
      </w:r>
    </w:p>
    <w:p>
      <w:r>
        <w:br w:type="page"/>
      </w:r>
    </w:p>
    <w:p>
      <w:pPr>
        <w:pStyle w:val="Heading1"/>
        <w:spacing w:after="200" w:before="360"/>
      </w:pPr>
      <w:r>
        <w:rPr>
          <w:rFonts w:ascii="Arial" w:cs="Arial" w:eastAsia="Arial" w:hAnsi="Arial"/>
          <w:b/>
          <w:bCs/>
          <w:color w:val="1F4E79"/>
          <w:sz w:val="36"/>
          <w:szCs w:val="36"/>
        </w:rPr>
        <w:t xml:space="preserve">5. Áreas con Alineamiento Parcial o Menor</w:t>
      </w:r>
    </w:p>
    <w:p>
      <w:pPr>
        <w:spacing w:after="60" w:before="60"/>
      </w:pPr>
      <w:r>
        <w:rPr>
          <w:rFonts w:ascii="Arial" w:cs="Arial" w:eastAsia="Arial" w:hAnsi="Arial"/>
          <w:color w:val="1F1F1F"/>
        </w:rPr>
        <w:t xml:space="preserve">Cinco áreas donde la dimensión técnica está adecuadamente cubierta, pero existen brechas organizacionales o de gobernanza que limitan la realización plena del potencial de la plataforma.</w:t>
      </w:r>
    </w:p>
    <w:p>
      <w:pPr>
        <w:pStyle w:val="Heading2"/>
        <w:spacing w:after="160" w:before="280"/>
      </w:pPr>
      <w:r>
        <w:rPr>
          <w:rFonts w:ascii="Arial" w:cs="Arial" w:eastAsia="Arial" w:hAnsi="Arial"/>
          <w:b/>
          <w:bCs/>
          <w:color w:val="1F4E79"/>
          <w:sz w:val="28"/>
          <w:szCs w:val="28"/>
        </w:rPr>
        <w:t xml:space="preserve">5.1 Modernización de Arquitectura de Datos para Agentes (Área 2)</w:t>
      </w:r>
    </w:p>
    <w:p>
      <w:pPr>
        <w:spacing w:after="60" w:before="60"/>
      </w:pPr>
      <w:r>
        <w:rPr>
          <w:rFonts w:ascii="Arial" w:cs="Arial" w:eastAsia="Arial" w:hAnsi="Arial"/>
          <w:color w:val="1F1F1F"/>
        </w:rPr>
        <w:t xml:space="preserve">AWS validó la arquitectura en 4/5 para AI/ML. AWS también explícitamente scoreó data governance y cross-cloud costs en 2/5 — exactamente las capas que McKinsey marca como más críticas para escala agentic.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860"/>
        <w:gridCol w:w="1500"/>
      </w:tblGrid>
      <w:tr>
        <w:trPr>
          <w:tblHeader/>
        </w:trPr>
        <w:tc>
          <w:tcPr>
            <w:tcW w:type="dxa" w:w="30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Principio McKinsey</w:t>
            </w:r>
          </w:p>
        </w:tc>
        <w:tc>
          <w:tcPr>
            <w:tcW w:type="dxa" w:w="48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pPr>
            <w:r>
              <w:rPr>
                <w:rFonts w:ascii="Arial" w:cs="Arial" w:eastAsia="Arial" w:hAnsi="Arial"/>
                <w:b/>
                <w:bCs/>
                <w:color w:val="FFFFFF"/>
                <w:sz w:val="22"/>
                <w:szCs w:val="22"/>
              </w:rPr>
              <w:t xml:space="preserve">Capacidad AI-Parrot</w:t>
            </w:r>
          </w:p>
        </w:tc>
        <w:tc>
          <w:tcPr>
            <w:tcW w:type="dxa" w:w="15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Estado</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Stable interfaces / vendor agnosticism</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300+ LLM routing, MCP server/client, OpenAPI auto-adapter</w:t>
            </w:r>
          </w:p>
        </w:tc>
        <w:tc>
          <w:tcPr>
            <w:tcW w:type="dxa" w:w="15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Strong</w:t>
            </w:r>
          </w:p>
        </w:tc>
      </w:tr>
      <w:tr>
        <w:trPr>
          <w:tblHeader w:val="false"/>
        </w:trPr>
        <w:tc>
          <w:tcPr>
            <w:tcW w:type="dxa" w:w="30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 interoperability standards</w:t>
            </w:r>
          </w:p>
        </w:tc>
        <w:tc>
          <w:tcPr>
            <w:tcW w:type="dxa" w:w="48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MCP + A2A protocols nativos</w:t>
            </w:r>
          </w:p>
        </w:tc>
        <w:tc>
          <w:tcPr>
            <w:tcW w:type="dxa" w:w="15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Strong</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Semantic layer / knowledge graphs</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ArangoDB + OntoGraph RAG en roadmap</w:t>
            </w:r>
          </w:p>
        </w:tc>
        <w:tc>
          <w:tcPr>
            <w:tcW w:type="dxa" w:w="15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Partial</w:t>
            </w:r>
          </w:p>
        </w:tc>
      </w:tr>
      <w:tr>
        <w:trPr>
          <w:tblHeader w:val="false"/>
        </w:trPr>
        <w:tc>
          <w:tcPr>
            <w:tcW w:type="dxa" w:w="30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Data ingestion as a product</w:t>
            </w:r>
          </w:p>
        </w:tc>
        <w:tc>
          <w:tcPr>
            <w:tcW w:type="dxa" w:w="48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Kinesis streaming + ETL pipeline (sin formal data product catalog)</w:t>
            </w:r>
          </w:p>
        </w:tc>
        <w:tc>
          <w:tcPr>
            <w:tcW w:type="dxa" w:w="15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Partial</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Behavior visibility / observability</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execution tracing (sin cost-per-agent telemetry)</w:t>
            </w:r>
          </w:p>
        </w:tc>
        <w:tc>
          <w:tcPr>
            <w:tcW w:type="dxa" w:w="15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Partial</w:t>
            </w:r>
          </w:p>
        </w:tc>
      </w:tr>
      <w:tr>
        <w:trPr>
          <w:tblHeader w:val="false"/>
        </w:trPr>
        <w:tc>
          <w:tcPr>
            <w:tcW w:type="dxa" w:w="30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Trust by default / governance</w:t>
            </w:r>
          </w:p>
        </w:tc>
        <w:tc>
          <w:tcPr>
            <w:tcW w:type="dxa" w:w="486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AWS scoreó 2/5; sin AI gateway, sin medallion layers</w:t>
            </w:r>
          </w:p>
        </w:tc>
        <w:tc>
          <w:tcPr>
            <w:tcW w:type="dxa" w:w="15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Gap</w:t>
            </w:r>
          </w:p>
        </w:tc>
      </w:tr>
      <w:tr>
        <w:trPr>
          <w:tblHeader w:val="false"/>
        </w:trPr>
        <w:tc>
          <w:tcPr>
            <w:tcW w:type="dxa" w:w="3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Controlled agent execution layer</w:t>
            </w:r>
          </w:p>
        </w:tc>
        <w:tc>
          <w:tcPr>
            <w:tcW w:type="dxa" w:w="48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DAG con checkpoints (sin cross-domain authority framework)</w:t>
            </w:r>
          </w:p>
        </w:tc>
        <w:tc>
          <w:tcPr>
            <w:tcW w:type="dxa" w:w="15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0"/>
                <w:szCs w:val="20"/>
              </w:rPr>
              <w:t xml:space="preserve">Gap</w:t>
            </w:r>
          </w:p>
        </w:tc>
      </w:tr>
    </w:tbl>
    <w:p>
      <w:pPr>
        <w:pStyle w:val="Heading2"/>
        <w:spacing w:after="160" w:before="280"/>
      </w:pPr>
      <w:r>
        <w:rPr>
          <w:rFonts w:ascii="Arial" w:cs="Arial" w:eastAsia="Arial" w:hAnsi="Arial"/>
          <w:b/>
          <w:bCs/>
          <w:color w:val="1F4E79"/>
          <w:sz w:val="28"/>
          <w:szCs w:val="28"/>
        </w:rPr>
        <w:t xml:space="preserve">5.2 Calidad de Datos (Área 3)</w:t>
      </w:r>
    </w:p>
    <w:p>
      <w:pPr>
        <w:spacing w:after="60" w:before="60"/>
      </w:pPr>
      <w:r>
        <w:rPr>
          <w:rFonts w:ascii="Arial" w:cs="Arial" w:eastAsia="Arial" w:hAnsi="Arial"/>
          <w:color w:val="1F1F1F"/>
        </w:rPr>
        <w:t xml:space="preserve">La implementación RAG es el mecanismo de calidad más fuerte de Parrot — neutraliza efectivamente el riesgo de hallucination en inference time. La transición de batch 48-hr a streaming sub-5-min ataca directamente el requisito McKinsey de continuous quality management. Las brechas son upstream.</w:t>
      </w:r>
    </w:p>
    <w:p>
      <w:pPr>
        <w:spacing w:after="60" w:before="60"/>
      </w:pPr>
      <w:r>
        <w:rPr>
          <w:rFonts w:ascii="Arial" w:cs="Arial" w:eastAsia="Arial" w:hAnsi="Arial"/>
          <w:b/>
          <w:bCs/>
          <w:color w:val="1F1F1F"/>
        </w:rPr>
        <w:t xml:space="preserve">Donde lidera Parrot:</w:t>
      </w:r>
    </w:p>
    <w:p>
      <w:pPr>
        <w:pStyle w:val="ListParagraph"/>
        <w:numPr>
          <w:ilvl w:val="0"/>
          <w:numId w:val="2"/>
        </w:numPr>
        <w:spacing w:after="40" w:before="40"/>
      </w:pPr>
      <w:r>
        <w:rPr>
          <w:rFonts w:ascii="Arial" w:cs="Arial" w:eastAsia="Arial" w:hAnsi="Arial"/>
          <w:color w:val="1F1F1F"/>
          <w:sz w:val="22"/>
          <w:szCs w:val="22"/>
        </w:rPr>
        <w:t xml:space="preserve">Enterprise RAG con multiple vector backends (Milvus, FAISS, Qdrant, PgVector, ArangoDB) garantiza que agentes operen sobre información verificada y contextualmente fundamentada</w:t>
      </w:r>
    </w:p>
    <w:p>
      <w:pPr>
        <w:pStyle w:val="ListParagraph"/>
        <w:numPr>
          <w:ilvl w:val="0"/>
          <w:numId w:val="2"/>
        </w:numPr>
        <w:spacing w:after="40" w:before="40"/>
      </w:pPr>
      <w:r>
        <w:rPr>
          <w:rFonts w:ascii="Arial" w:cs="Arial" w:eastAsia="Arial" w:hAnsi="Arial"/>
          <w:color w:val="1F1F1F"/>
          <w:sz w:val="22"/>
          <w:szCs w:val="22"/>
        </w:rPr>
        <w:t xml:space="preserve">AgentsFlow execution tracing registra cada input/output en cada nodo, habilitando análisis retroactivo de lineage</w:t>
      </w:r>
    </w:p>
    <w:p>
      <w:pPr>
        <w:pStyle w:val="ListParagraph"/>
        <w:numPr>
          <w:ilvl w:val="0"/>
          <w:numId w:val="2"/>
        </w:numPr>
        <w:spacing w:after="40" w:before="40"/>
      </w:pPr>
      <w:r>
        <w:rPr>
          <w:rFonts w:ascii="Arial" w:cs="Arial" w:eastAsia="Arial" w:hAnsi="Arial"/>
          <w:color w:val="1F1F1F"/>
          <w:sz w:val="22"/>
          <w:szCs w:val="22"/>
        </w:rPr>
        <w:t xml:space="preserve">Real-time Kinesis elimina el riesgo de stale-data 48-hr que contribuía a la pérdida $12M anual</w:t>
      </w:r>
    </w:p>
    <w:p>
      <w:pPr>
        <w:spacing w:after="60" w:before="60"/>
      </w:pPr>
      <w:r>
        <w:rPr>
          <w:rFonts w:ascii="Arial" w:cs="Arial" w:eastAsia="Arial" w:hAnsi="Arial"/>
          <w:b/>
          <w:bCs/>
          <w:color w:val="1F1F1F"/>
        </w:rPr>
        <w:t xml:space="preserve">Brechas a cerrar:</w:t>
      </w:r>
    </w:p>
    <w:p>
      <w:pPr>
        <w:pStyle w:val="ListParagraph"/>
        <w:numPr>
          <w:ilvl w:val="0"/>
          <w:numId w:val="2"/>
        </w:numPr>
        <w:spacing w:after="40" w:before="40"/>
      </w:pPr>
      <w:r>
        <w:rPr>
          <w:rFonts w:ascii="Arial" w:cs="Arial" w:eastAsia="Arial" w:hAnsi="Arial"/>
          <w:color w:val="1F1F1F"/>
          <w:sz w:val="22"/>
          <w:szCs w:val="22"/>
        </w:rPr>
        <w:t xml:space="preserve">Detección automática de anomalías y validación AI-enabled en pipelines no descritas — McKinsey las identifica como backbone de continuous quality management</w:t>
      </w:r>
    </w:p>
    <w:p>
      <w:pPr>
        <w:pStyle w:val="ListParagraph"/>
        <w:numPr>
          <w:ilvl w:val="0"/>
          <w:numId w:val="2"/>
        </w:numPr>
        <w:spacing w:after="40" w:before="40"/>
      </w:pPr>
      <w:r>
        <w:rPr>
          <w:rFonts w:ascii="Arial" w:cs="Arial" w:eastAsia="Arial" w:hAnsi="Arial"/>
          <w:color w:val="1F1F1F"/>
          <w:sz w:val="22"/>
          <w:szCs w:val="22"/>
        </w:rPr>
        <w:t xml:space="preserve">Gobernanza de outputs agente-generados: restocking recommendations, NEXUS pricing decisions y dispatch instructions deben cumplir los mismos estándares que data de entrada — no solo loggearse</w:t>
      </w:r>
    </w:p>
    <w:p>
      <w:pPr>
        <w:pStyle w:val="ListParagraph"/>
        <w:numPr>
          <w:ilvl w:val="0"/>
          <w:numId w:val="2"/>
        </w:numPr>
        <w:spacing w:after="40" w:before="40"/>
      </w:pPr>
      <w:r>
        <w:rPr>
          <w:rFonts w:ascii="Arial" w:cs="Arial" w:eastAsia="Arial" w:hAnsi="Arial"/>
          <w:color w:val="1F1F1F"/>
          <w:sz w:val="22"/>
          <w:szCs w:val="22"/>
        </w:rPr>
        <w:t xml:space="preserve">Metadata management para lineage y contexto de negocio — implícito en RAG pero no formalizado como requisito de plataforma</w:t>
      </w:r>
    </w:p>
    <w:p>
      <w:pPr>
        <w:pStyle w:val="Heading2"/>
        <w:spacing w:after="160" w:before="280"/>
      </w:pPr>
      <w:r>
        <w:rPr>
          <w:rFonts w:ascii="Arial" w:cs="Arial" w:eastAsia="Arial" w:hAnsi="Arial"/>
          <w:b/>
          <w:bCs/>
          <w:color w:val="1F4E79"/>
          <w:sz w:val="28"/>
          <w:szCs w:val="28"/>
        </w:rPr>
        <w:t xml:space="preserve">5.3 Talento AI-First y Workforce Design (Área 5)</w:t>
      </w:r>
    </w:p>
    <w:p>
      <w:pPr>
        <w:spacing w:after="60" w:before="60"/>
      </w:pPr>
      <w:r>
        <w:rPr>
          <w:rFonts w:ascii="Arial" w:cs="Arial" w:eastAsia="Arial" w:hAnsi="Arial"/>
          <w:color w:val="1F1F1F"/>
        </w:rPr>
        <w:t xml:space="preserve">El modelo Labor Inverse es bold y bien articulado. El documento lo aborda como palanca financiera — no como programa de transformación de personas y change management.</w:t>
      </w:r>
    </w:p>
    <w:p>
      <w:pPr>
        <w:spacing w:after="60" w:before="60"/>
      </w:pPr>
      <w:r>
        <w:rPr>
          <w:rFonts w:ascii="Arial" w:cs="Arial" w:eastAsia="Arial" w:hAnsi="Arial"/>
          <w:b/>
          <w:bCs/>
          <w:color w:val="1F1F1F"/>
        </w:rPr>
        <w:t xml:space="preserve">Donde lidera Parrot:</w:t>
      </w:r>
    </w:p>
    <w:p>
      <w:pPr>
        <w:pStyle w:val="ListParagraph"/>
        <w:numPr>
          <w:ilvl w:val="0"/>
          <w:numId w:val="2"/>
        </w:numPr>
        <w:spacing w:after="40" w:before="40"/>
      </w:pPr>
      <w:r>
        <w:rPr>
          <w:rFonts w:ascii="Arial" w:cs="Arial" w:eastAsia="Arial" w:hAnsi="Arial"/>
          <w:color w:val="1F1F1F"/>
          <w:sz w:val="22"/>
          <w:szCs w:val="22"/>
        </w:rPr>
        <w:t xml:space="preserve">Especialización VIBA vs. AI-Parrot brain (edge intelligence reflexiva vs. enterprise orchestration cognitiva) mapea directamente a la recomendación McKinsey de asignar judgment humano donde aún importa, AI a ejecución</w:t>
      </w:r>
    </w:p>
    <w:p>
      <w:pPr>
        <w:pStyle w:val="ListParagraph"/>
        <w:numPr>
          <w:ilvl w:val="0"/>
          <w:numId w:val="2"/>
        </w:numPr>
        <w:spacing w:after="40" w:before="40"/>
      </w:pPr>
      <w:r>
        <w:rPr>
          <w:rFonts w:ascii="Arial" w:cs="Arial" w:eastAsia="Arial" w:hAnsi="Arial"/>
          <w:color w:val="1F1F1F"/>
          <w:sz w:val="22"/>
          <w:szCs w:val="22"/>
        </w:rPr>
        <w:t xml:space="preserve">Split de equipos (VIBA en CX/edge, Parrot en backend/enterprise) refleja workforce design por skills</w:t>
      </w:r>
    </w:p>
    <w:p>
      <w:pPr>
        <w:spacing w:after="60" w:before="60"/>
      </w:pPr>
      <w:r>
        <w:rPr>
          <w:rFonts w:ascii="Arial" w:cs="Arial" w:eastAsia="Arial" w:hAnsi="Arial"/>
          <w:b/>
          <w:bCs/>
          <w:color w:val="1F1F1F"/>
        </w:rPr>
        <w:t xml:space="preserve">Brechas a cerrar:</w:t>
      </w:r>
    </w:p>
    <w:p>
      <w:pPr>
        <w:pStyle w:val="ListParagraph"/>
        <w:numPr>
          <w:ilvl w:val="0"/>
          <w:numId w:val="2"/>
        </w:numPr>
        <w:spacing w:after="40" w:before="40"/>
      </w:pPr>
      <w:r>
        <w:rPr>
          <w:rFonts w:ascii="Arial" w:cs="Arial" w:eastAsia="Arial" w:hAnsi="Arial"/>
          <w:color w:val="1F1F1F"/>
          <w:sz w:val="22"/>
          <w:szCs w:val="22"/>
        </w:rPr>
        <w:t xml:space="preserve">El framework McKinsey de "30-70 shifts" no está abordado: 70%+ talento in-house, 70%+ engineers "doer", 70%+ en niveles de skill superiores</w:t>
      </w:r>
    </w:p>
    <w:p>
      <w:pPr>
        <w:pStyle w:val="ListParagraph"/>
        <w:numPr>
          <w:ilvl w:val="0"/>
          <w:numId w:val="2"/>
        </w:numPr>
        <w:spacing w:after="40" w:before="40"/>
      </w:pPr>
      <w:r>
        <w:rPr>
          <w:rFonts w:ascii="Arial" w:cs="Arial" w:eastAsia="Arial" w:hAnsi="Arial"/>
          <w:color w:val="1F1F1F"/>
          <w:sz w:val="22"/>
          <w:szCs w:val="22"/>
        </w:rPr>
        <w:t xml:space="preserve">Cómo se reskillea la fuerza laboral existente — particularmente field reps y brand ambassadors — para operar junto a agentes</w:t>
      </w:r>
    </w:p>
    <w:p>
      <w:pPr>
        <w:pStyle w:val="ListParagraph"/>
        <w:numPr>
          <w:ilvl w:val="0"/>
          <w:numId w:val="2"/>
        </w:numPr>
        <w:spacing w:after="40" w:before="40"/>
      </w:pPr>
      <w:r>
        <w:rPr>
          <w:rFonts w:ascii="Arial" w:cs="Arial" w:eastAsia="Arial" w:hAnsi="Arial"/>
          <w:color w:val="1F1F1F"/>
          <w:sz w:val="22"/>
          <w:szCs w:val="22"/>
        </w:rPr>
        <w:t xml:space="preserve">Definición de qué roles específicos pasan de execution a supervision a medida que Parrot absorbe ejecución de workflows rutinarios</w:t>
      </w:r>
    </w:p>
    <w:p>
      <w:pPr>
        <w:pStyle w:val="Heading2"/>
        <w:spacing w:after="160" w:before="280"/>
      </w:pPr>
      <w:r>
        <w:rPr>
          <w:rFonts w:ascii="Arial" w:cs="Arial" w:eastAsia="Arial" w:hAnsi="Arial"/>
          <w:b/>
          <w:bCs/>
          <w:color w:val="1F4E79"/>
          <w:sz w:val="28"/>
          <w:szCs w:val="28"/>
        </w:rPr>
        <w:t xml:space="preserve">5.4 Vendor Strategy (Área 6)</w:t>
      </w:r>
    </w:p>
    <w:p>
      <w:pPr>
        <w:spacing w:after="60" w:before="60"/>
      </w:pPr>
      <w:r>
        <w:rPr>
          <w:rFonts w:ascii="Arial" w:cs="Arial" w:eastAsia="Arial" w:hAnsi="Arial"/>
          <w:color w:val="1F1F1F"/>
        </w:rPr>
        <w:t xml:space="preserve">El multi-layer vendor agnosticism de T-ROC (LLM routing + hardware agnosticism) es genuinamente diferenciado. La estrategia aborda riesgo model-layer comprehensivamente — no aborda el framework de outcome-linked vendor governance que McKinsey describe para portfolios de desarrollo outsourced y SaaS.</w:t>
      </w:r>
    </w:p>
    <w:p>
      <w:pPr>
        <w:spacing w:after="60" w:before="60"/>
      </w:pPr>
      <w:r>
        <w:rPr>
          <w:rFonts w:ascii="Arial" w:cs="Arial" w:eastAsia="Arial" w:hAnsi="Arial"/>
          <w:b/>
          <w:bCs/>
          <w:color w:val="1F1F1F"/>
        </w:rPr>
        <w:t xml:space="preserve">Donde lidera Parrot:</w:t>
      </w:r>
    </w:p>
    <w:p>
      <w:pPr>
        <w:pStyle w:val="ListParagraph"/>
        <w:numPr>
          <w:ilvl w:val="0"/>
          <w:numId w:val="2"/>
        </w:numPr>
        <w:spacing w:after="40" w:before="40"/>
      </w:pPr>
      <w:r>
        <w:rPr>
          <w:rFonts w:ascii="Arial" w:cs="Arial" w:eastAsia="Arial" w:hAnsi="Arial"/>
          <w:color w:val="1F1F1F"/>
          <w:sz w:val="22"/>
          <w:szCs w:val="22"/>
        </w:rPr>
        <w:t xml:space="preserve">Hardware agnosticism en NEXUS + LLM agnosticism en AI-Parrot crean independencia multi-capa</w:t>
      </w:r>
    </w:p>
    <w:p>
      <w:pPr>
        <w:pStyle w:val="ListParagraph"/>
        <w:numPr>
          <w:ilvl w:val="0"/>
          <w:numId w:val="2"/>
        </w:numPr>
        <w:spacing w:after="40" w:before="40"/>
      </w:pPr>
      <w:r>
        <w:rPr>
          <w:rFonts w:ascii="Arial" w:cs="Arial" w:eastAsia="Arial" w:hAnsi="Arial"/>
          <w:color w:val="1F1F1F"/>
          <w:sz w:val="22"/>
          <w:szCs w:val="22"/>
        </w:rPr>
        <w:t xml:space="preserve">OpenAPI auto-adapter reduce dependencia de integraciones de nuevos vendors</w:t>
      </w:r>
    </w:p>
    <w:p>
      <w:pPr>
        <w:pStyle w:val="ListParagraph"/>
        <w:numPr>
          <w:ilvl w:val="0"/>
          <w:numId w:val="2"/>
        </w:numPr>
        <w:spacing w:after="40" w:before="40"/>
      </w:pPr>
      <w:r>
        <w:rPr>
          <w:rFonts w:ascii="Arial" w:cs="Arial" w:eastAsia="Arial" w:hAnsi="Arial"/>
          <w:color w:val="1F1F1F"/>
          <w:sz w:val="22"/>
          <w:szCs w:val="22"/>
        </w:rPr>
        <w:t xml:space="preserve">Capacidad de correr 100+ modelos open-source on-premise (Ollama / vLLM) elimina exposición a pricing cloud para workloads sensibles</w:t>
      </w:r>
    </w:p>
    <w:p>
      <w:pPr>
        <w:spacing w:after="60" w:before="60"/>
      </w:pPr>
      <w:r>
        <w:rPr>
          <w:rFonts w:ascii="Arial" w:cs="Arial" w:eastAsia="Arial" w:hAnsi="Arial"/>
          <w:b/>
          <w:bCs/>
          <w:color w:val="1F1F1F"/>
        </w:rPr>
        <w:t xml:space="preserve">Brechas a cerrar:</w:t>
      </w:r>
    </w:p>
    <w:p>
      <w:pPr>
        <w:pStyle w:val="ListParagraph"/>
        <w:numPr>
          <w:ilvl w:val="0"/>
          <w:numId w:val="2"/>
        </w:numPr>
        <w:spacing w:after="40" w:before="40"/>
      </w:pPr>
      <w:r>
        <w:rPr>
          <w:rFonts w:ascii="Arial" w:cs="Arial" w:eastAsia="Arial" w:hAnsi="Arial"/>
          <w:color w:val="1F1F1F"/>
          <w:sz w:val="22"/>
          <w:szCs w:val="22"/>
        </w:rPr>
        <w:t xml:space="preserve">Outcome-linked contracts con vendors de desarrollo y tecnología no mencionados — McKinsey los identifica como mecanismo primario para que las ganancias AI accruen al enterprise, no al vendor vía billing labor-based obsoleto</w:t>
      </w:r>
    </w:p>
    <w:p>
      <w:pPr>
        <w:pStyle w:val="ListParagraph"/>
        <w:numPr>
          <w:ilvl w:val="0"/>
          <w:numId w:val="2"/>
        </w:numPr>
        <w:spacing w:after="40" w:before="40"/>
      </w:pPr>
      <w:r>
        <w:rPr>
          <w:rFonts w:ascii="Arial" w:cs="Arial" w:eastAsia="Arial" w:hAnsi="Arial"/>
          <w:color w:val="1F1F1F"/>
          <w:sz w:val="22"/>
          <w:szCs w:val="22"/>
        </w:rPr>
        <w:t xml:space="preserve">Racionalización del portfolio SaaS frente a vendors moviéndose a pricing API-first y agentic — exposición de costo emergente a medida que workflows agentic incrementan volumen de API calls</w:t>
      </w:r>
    </w:p>
    <w:p>
      <w:pPr>
        <w:pStyle w:val="Heading2"/>
        <w:spacing w:after="160" w:before="280"/>
      </w:pPr>
      <w:r>
        <w:rPr>
          <w:rFonts w:ascii="Arial" w:cs="Arial" w:eastAsia="Arial" w:hAnsi="Arial"/>
          <w:b/>
          <w:bCs/>
          <w:color w:val="1F4E79"/>
          <w:sz w:val="28"/>
          <w:szCs w:val="28"/>
        </w:rPr>
        <w:t xml:space="preserve">5.5 Plataformas como Activos Estratégicos (Área 8)</w:t>
      </w:r>
    </w:p>
    <w:p>
      <w:pPr>
        <w:spacing w:after="60" w:before="60"/>
      </w:pPr>
      <w:r>
        <w:rPr>
          <w:rFonts w:ascii="Arial" w:cs="Arial" w:eastAsia="Arial" w:hAnsi="Arial"/>
          <w:color w:val="1F1F1F"/>
        </w:rPr>
        <w:t xml:space="preserve">AI-Parrot está claramente posicionado como plataforma estratégica, no como proyecto IT interno. La estrategia IP, el Strategic Flywheel y los items de roadmap (OntoGraph RAG, on-device SLMs) reflejan platform thinking. Lo menos claro es la gobernanza formal de inversión.</w:t>
      </w:r>
    </w:p>
    <w:p>
      <w:pPr>
        <w:spacing w:after="60" w:before="60"/>
      </w:pPr>
      <w:r>
        <w:rPr>
          <w:rFonts w:ascii="Arial" w:cs="Arial" w:eastAsia="Arial" w:hAnsi="Arial"/>
          <w:b/>
          <w:bCs/>
          <w:color w:val="1F1F1F"/>
        </w:rPr>
        <w:t xml:space="preserve">Donde lidera Parrot:</w:t>
      </w:r>
    </w:p>
    <w:p>
      <w:pPr>
        <w:pStyle w:val="ListParagraph"/>
        <w:numPr>
          <w:ilvl w:val="0"/>
          <w:numId w:val="2"/>
        </w:numPr>
        <w:spacing w:after="40" w:before="40"/>
      </w:pPr>
      <w:r>
        <w:rPr>
          <w:rFonts w:ascii="Arial" w:cs="Arial" w:eastAsia="Arial" w:hAnsi="Arial"/>
          <w:color w:val="1F1F1F"/>
          <w:sz w:val="22"/>
          <w:szCs w:val="22"/>
        </w:rPr>
        <w:t xml:space="preserve">Estrategia IP híbrida (patentar visible edges + proteger secret sauce como trade secrets) refleja platform moat thinking de largo plazo</w:t>
      </w:r>
    </w:p>
    <w:p>
      <w:pPr>
        <w:pStyle w:val="ListParagraph"/>
        <w:numPr>
          <w:ilvl w:val="0"/>
          <w:numId w:val="2"/>
        </w:numPr>
        <w:spacing w:after="40" w:before="40"/>
      </w:pPr>
      <w:r>
        <w:rPr>
          <w:rFonts w:ascii="Arial" w:cs="Arial" w:eastAsia="Arial" w:hAnsi="Arial"/>
          <w:color w:val="1F1F1F"/>
          <w:sz w:val="22"/>
          <w:szCs w:val="22"/>
        </w:rPr>
        <w:t xml:space="preserve">Strategic Flywheel — los ahorros de infraestructura AWS financiando directamente el desarrollo Parrot — análogo al "sustained, stage-gated investment tied to results" de McKinsey</w:t>
      </w:r>
    </w:p>
    <w:p>
      <w:pPr>
        <w:pStyle w:val="ListParagraph"/>
        <w:numPr>
          <w:ilvl w:val="0"/>
          <w:numId w:val="2"/>
        </w:numPr>
        <w:spacing w:after="40" w:before="40"/>
      </w:pPr>
      <w:r>
        <w:rPr>
          <w:rFonts w:ascii="Arial" w:cs="Arial" w:eastAsia="Arial" w:hAnsi="Arial"/>
          <w:color w:val="1F1F1F"/>
          <w:sz w:val="22"/>
          <w:szCs w:val="22"/>
        </w:rPr>
        <w:t xml:space="preserve">TWICE Award + AWS validation + ROI documentado proveen credibilidad externa esencial</w:t>
      </w:r>
    </w:p>
    <w:p>
      <w:pPr>
        <w:spacing w:after="60" w:before="60"/>
      </w:pPr>
      <w:r>
        <w:rPr>
          <w:rFonts w:ascii="Arial" w:cs="Arial" w:eastAsia="Arial" w:hAnsi="Arial"/>
          <w:b/>
          <w:bCs/>
          <w:color w:val="1F1F1F"/>
        </w:rPr>
        <w:t xml:space="preserve">Brechas a cerrar:</w:t>
      </w:r>
    </w:p>
    <w:p>
      <w:pPr>
        <w:pStyle w:val="ListParagraph"/>
        <w:numPr>
          <w:ilvl w:val="0"/>
          <w:numId w:val="2"/>
        </w:numPr>
        <w:spacing w:after="40" w:before="40"/>
      </w:pPr>
      <w:r>
        <w:rPr>
          <w:rFonts w:ascii="Arial" w:cs="Arial" w:eastAsia="Arial" w:hAnsi="Arial"/>
          <w:color w:val="1F1F1F"/>
          <w:sz w:val="22"/>
          <w:szCs w:val="22"/>
        </w:rPr>
        <w:t xml:space="preserve">SLAs formales de plataforma — más allá del 99.9% NEXUS — no definidos para servicios core (latencia routing modelo, AgentsFlow execution SLAs, RAG retrieval response time targets)</w:t>
      </w:r>
    </w:p>
    <w:p>
      <w:pPr>
        <w:pStyle w:val="ListParagraph"/>
        <w:numPr>
          <w:ilvl w:val="0"/>
          <w:numId w:val="2"/>
        </w:numPr>
        <w:spacing w:after="40" w:before="40"/>
      </w:pPr>
      <w:r>
        <w:rPr>
          <w:rFonts w:ascii="Arial" w:cs="Arial" w:eastAsia="Arial" w:hAnsi="Arial"/>
          <w:color w:val="1F1F1F"/>
          <w:sz w:val="22"/>
          <w:szCs w:val="22"/>
        </w:rPr>
        <w:t xml:space="preserve">Roadmap de producto estructurado con milestones, ownership y criterios de priorización no presentado</w:t>
      </w:r>
    </w:p>
    <w:p>
      <w:pPr>
        <w:pStyle w:val="ListParagraph"/>
        <w:numPr>
          <w:ilvl w:val="0"/>
          <w:numId w:val="2"/>
        </w:numPr>
        <w:spacing w:after="40" w:before="40"/>
      </w:pPr>
      <w:r>
        <w:rPr>
          <w:rFonts w:ascii="Arial" w:cs="Arial" w:eastAsia="Arial" w:hAnsi="Arial"/>
          <w:color w:val="1F1F1F"/>
          <w:sz w:val="22"/>
          <w:szCs w:val="22"/>
        </w:rPr>
        <w:t xml:space="preserve">No hay Platform User Council o mecanismo de feedback estructurado para que domain teams shapeen la evolución de la plataforma</w:t>
      </w:r>
    </w:p>
    <w:p>
      <w:r>
        <w:br w:type="page"/>
      </w:r>
    </w:p>
    <w:p>
      <w:pPr>
        <w:pStyle w:val="Heading1"/>
        <w:spacing w:after="200" w:before="360"/>
      </w:pPr>
      <w:r>
        <w:rPr>
          <w:rFonts w:ascii="Arial" w:cs="Arial" w:eastAsia="Arial" w:hAnsi="Arial"/>
          <w:b/>
          <w:bCs/>
          <w:color w:val="1F4E79"/>
          <w:sz w:val="36"/>
          <w:szCs w:val="36"/>
        </w:rPr>
        <w:t xml:space="preserve">6. Plan Priorizado de Mejoras: Semáforo de Criticidad</w:t>
      </w:r>
    </w:p>
    <w:p>
      <w:pPr>
        <w:spacing w:after="60" w:before="60"/>
      </w:pPr>
      <w:r>
        <w:rPr>
          <w:rFonts w:ascii="Arial" w:cs="Arial" w:eastAsia="Arial" w:hAnsi="Arial"/>
          <w:color w:val="1F1F1F"/>
        </w:rPr>
        <w:t xml:space="preserve">Las 16 recomendaciones de desarrollo del análisis McKinsey, mapeadas a un sistema de semáforo de cinco niveles. La numeración (#1–#16) preserva la referencia al documento original. Cada nivel se entiende así:</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7660"/>
      </w:tblGrid>
      <w:tr>
        <w:tc>
          <w:tcPr>
            <w:tcW w:type="dxa" w:w="17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Critical</w:t>
            </w:r>
          </w:p>
        </w:tc>
        <w:tc>
          <w:tcPr>
            <w:tcW w:type="dxa" w:w="76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Atención inmediata. Brecha que compone riesgo a escala si no se aborda. Bloquea despliegue agentic responsable.</w:t>
            </w:r>
          </w:p>
        </w:tc>
      </w:tr>
      <w:tr>
        <w:tc>
          <w:tcPr>
            <w:tcW w:type="dxa" w:w="17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High</w:t>
            </w:r>
          </w:p>
        </w:tc>
        <w:tc>
          <w:tcPr>
            <w:tcW w:type="dxa" w:w="76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Próximos 6 meses. Habilita ramping y cierra exposición regulatoria/competitiva clave.</w:t>
            </w:r>
          </w:p>
        </w:tc>
      </w:tr>
      <w:tr>
        <w:tc>
          <w:tcPr>
            <w:tcW w:type="dxa" w:w="17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Major</w:t>
            </w:r>
          </w:p>
        </w:tc>
        <w:tc>
          <w:tcPr>
            <w:tcW w:type="dxa" w:w="76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6–12 meses. Palancas estratégicas significativas — operacional, calidad, optimización.</w:t>
            </w:r>
          </w:p>
        </w:tc>
      </w:tr>
      <w:tr>
        <w:tc>
          <w:tcPr>
            <w:tcW w:type="dxa" w:w="17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Minor</w:t>
            </w:r>
          </w:p>
        </w:tc>
        <w:tc>
          <w:tcPr>
            <w:tcW w:type="dxa" w:w="76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Quality-of-life foundational. Eleva developer experience y velocidad sin ser bloqueante.</w:t>
            </w:r>
          </w:p>
        </w:tc>
      </w:tr>
      <w:tr>
        <w:tc>
          <w:tcPr>
            <w:tcW w:type="dxa" w:w="17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Improvement</w:t>
            </w:r>
          </w:p>
        </w:tc>
        <w:tc>
          <w:tcPr>
            <w:tcW w:type="dxa" w:w="76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Moats estratégicos largo plazo. Diferenciación competitiva sostenida.</w:t>
            </w:r>
          </w:p>
        </w:tc>
      </w:tr>
    </w:tbl>
    <w:p>
      <w:pPr>
        <w:pStyle w:val="Heading2"/>
        <w:spacing w:after="160" w:before="280"/>
      </w:pPr>
      <w:r>
        <w:rPr>
          <w:rFonts w:ascii="Arial" w:cs="Arial" w:eastAsia="Arial" w:hAnsi="Arial"/>
          <w:b/>
          <w:bCs/>
          <w:color w:val="1F4E79"/>
          <w:sz w:val="28"/>
          <w:szCs w:val="28"/>
        </w:rPr>
        <w:t xml:space="preserve">6.1 Critical — Atención Inmediata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C00000"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C00000"/>
                <w:sz w:val="22"/>
                <w:szCs w:val="22"/>
              </w:rPr>
              <w:t xml:space="preserve">Por qué estos tres primero</w:t>
            </w:r>
          </w:p>
          <w:p>
            <w:pPr>
              <w:spacing w:after="40" w:before="40"/>
            </w:pPr>
            <w:r>
              <w:rPr>
                <w:rFonts w:ascii="Arial" w:cs="Arial" w:eastAsia="Arial" w:hAnsi="Arial"/>
                <w:color w:val="1F1F1F"/>
                <w:sz w:val="22"/>
                <w:szCs w:val="22"/>
              </w:rPr>
              <w:t xml:space="preserve">Sin authority framework, cualquier escalado agentic carga riesgo legal y operacional creciente. Sin medallion data, los agentes operan sobre data poorly-governed (AWS 2/5) y producen "fast, confident, wrong decisions at scale". Sin pre-deployment testing, fallos en producción son inevitables y compounding. Las tres son interdependientes y deben atacarse en paralelo en Fase 1 (meses 1–3).</w:t>
            </w:r>
          </w:p>
        </w:tc>
      </w:tr>
    </w:tbl>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w:t>
            </w:r>
          </w:p>
        </w:tc>
        <w:tc>
          <w:tcPr>
            <w:tcW w:type="dxa" w:w="82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Agent Authority Framework Formal  </w:t>
            </w:r>
            <w:r>
              <w:rPr>
                <w:rFonts w:ascii="Arial" w:cs="Arial" w:eastAsia="Arial" w:hAnsi="Arial"/>
                <w:b w:val="false"/>
                <w:bCs w:val="false"/>
                <w:color w:val="595959"/>
                <w:sz w:val="20"/>
                <w:szCs w:val="20"/>
              </w:rPr>
              <w:t xml:space="preserve">[Governance]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AI-Parrot tiene capacidades de ejecución poderosas pero no codifica frontera entre acción autónoma y escalation humano. A 2,500+ ETL y 5,000+ APIs, un agente que actúa fuera de scope no comete un error — comete ese error en miles de paths simultáneamente.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Definir modelo de autoridad de tres tiers: Tier 1 (observe &amp; report), Tier 2 (recommend &amp; notify, no ejecuta), Tier 3 (autónomo con audit trail completo). Cada workflow asignado a tier en deployment.</w:t>
            </w:r>
          </w:p>
          <w:p>
            <w:pPr>
              <w:pStyle w:val="ListParagraph"/>
              <w:numPr>
                <w:ilvl w:val="0"/>
                <w:numId w:val="2"/>
              </w:numPr>
              <w:spacing w:after="30" w:before="30"/>
            </w:pPr>
            <w:r>
              <w:rPr>
                <w:rFonts w:ascii="Arial" w:cs="Arial" w:eastAsia="Arial" w:hAnsi="Arial"/>
                <w:color w:val="1F1F1F"/>
                <w:sz w:val="20"/>
                <w:szCs w:val="20"/>
              </w:rPr>
              <w:t xml:space="preserve">Permission manifests domain-scoped: Retail360 field agent tiene read en inventory pero no write en pricing; NEXUS sales agent presenta ofertas pero no modifica catalog pricing. Versionados en source control.</w:t>
            </w:r>
          </w:p>
          <w:p>
            <w:pPr>
              <w:pStyle w:val="ListParagraph"/>
              <w:numPr>
                <w:ilvl w:val="0"/>
                <w:numId w:val="2"/>
              </w:numPr>
              <w:spacing w:after="30" w:before="30"/>
            </w:pPr>
            <w:r>
              <w:rPr>
                <w:rFonts w:ascii="Arial" w:cs="Arial" w:eastAsia="Arial" w:hAnsi="Arial"/>
                <w:color w:val="1F1F1F"/>
                <w:sz w:val="20"/>
                <w:szCs w:val="20"/>
              </w:rPr>
              <w:t xml:space="preserve">Escalation triggers explícitos: confidence scores bajo threshold, transaction values sobre límite, situaciones novel fuera de training distribution → pause + alert.</w:t>
            </w:r>
          </w:p>
          <w:p>
            <w:pPr>
              <w:pStyle w:val="ListParagraph"/>
              <w:numPr>
                <w:ilvl w:val="0"/>
                <w:numId w:val="2"/>
              </w:numPr>
              <w:spacing w:after="30" w:before="30"/>
            </w:pPr>
            <w:r>
              <w:rPr>
                <w:rFonts w:ascii="Arial" w:cs="Arial" w:eastAsia="Arial" w:hAnsi="Arial"/>
                <w:color w:val="1F1F1F"/>
                <w:sz w:val="20"/>
                <w:szCs w:val="20"/>
              </w:rPr>
              <w:t xml:space="preserve">Guardrail agents: monitor agents lightweight corriendo paralelos a producción, chequeando outputs por compliance antes de actuar.</w:t>
            </w:r>
          </w:p>
          <w:p>
            <w:pPr>
              <w:pStyle w:val="ListParagraph"/>
              <w:numPr>
                <w:ilvl w:val="0"/>
                <w:numId w:val="2"/>
              </w:numPr>
              <w:spacing w:after="30" w:before="30"/>
            </w:pPr>
            <w:r>
              <w:rPr>
                <w:rFonts w:ascii="Arial" w:cs="Arial" w:eastAsia="Arial" w:hAnsi="Arial"/>
                <w:color w:val="1F1F1F"/>
                <w:sz w:val="20"/>
                <w:szCs w:val="20"/>
              </w:rPr>
              <w:t xml:space="preserve">Version control de policies: cada cambio requiere review, test, audit log entry. Rollback en minutos.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HITL checkpoints, credential issuance, execution tracing.</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permission manifests dominio-específicos, sin escalation triggers basados en confidence, sin guardrail agent pattern.</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#2</w:t>
            </w:r>
          </w:p>
        </w:tc>
        <w:tc>
          <w:tcPr>
            <w:tcW w:type="dxa" w:w="82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Medallion Data Architecture (Bronze / Silver / Gold)  </w:t>
            </w:r>
            <w:r>
              <w:rPr>
                <w:rFonts w:ascii="Arial" w:cs="Arial" w:eastAsia="Arial" w:hAnsi="Arial"/>
                <w:b w:val="false"/>
                <w:bCs w:val="false"/>
                <w:color w:val="595959"/>
                <w:sz w:val="20"/>
                <w:szCs w:val="20"/>
              </w:rPr>
              <w:t xml:space="preserve">[Data Quality]</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AWS scoreó AI/ML 4/5 pero governance 2/5. Un agente altamente capable operando sobre data poorly-governed produce decisiones fast, confident, wrong a escala. RAG resuelve hallucination en inference — no fixea poor data quality upstream.</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Bronze recibe raw data; Silver aplica cleaning, validación, deduplicación, schema enforcement; Gold añade business context, semantic tagging, lineage metadata, quality scores. Solo Gold entra a vector stores agente-accesibles.</w:t>
            </w:r>
          </w:p>
          <w:p>
            <w:pPr>
              <w:pStyle w:val="ListParagraph"/>
              <w:numPr>
                <w:ilvl w:val="0"/>
                <w:numId w:val="2"/>
              </w:numPr>
              <w:spacing w:after="30" w:before="30"/>
            </w:pPr>
            <w:r>
              <w:rPr>
                <w:rFonts w:ascii="Arial" w:cs="Arial" w:eastAsia="Arial" w:hAnsi="Arial"/>
                <w:color w:val="1F1F1F"/>
                <w:sz w:val="20"/>
                <w:szCs w:val="20"/>
              </w:rPr>
              <w:t xml:space="preserve">Quality checks automatizados en cada layer transition con streaming validation (Apache Griffin o equivalente) — continuo sobre Kinesis, no batch one-time.</w:t>
            </w:r>
          </w:p>
          <w:p>
            <w:pPr>
              <w:pStyle w:val="ListParagraph"/>
              <w:numPr>
                <w:ilvl w:val="0"/>
                <w:numId w:val="2"/>
              </w:numPr>
              <w:spacing w:after="30" w:before="30"/>
            </w:pPr>
            <w:r>
              <w:rPr>
                <w:rFonts w:ascii="Arial" w:cs="Arial" w:eastAsia="Arial" w:hAnsi="Arial"/>
                <w:color w:val="1F1F1F"/>
                <w:sz w:val="20"/>
                <w:szCs w:val="20"/>
              </w:rPr>
              <w:t xml:space="preserve">Aplicar mismos estándares de calidad a outputs agente-generados: si AgentCrew produce restocking recommendation, ese output es quality-scored y lineage-tagged antes de entrar a downstream workflows.</w:t>
            </w:r>
          </w:p>
          <w:p>
            <w:pPr>
              <w:pStyle w:val="ListParagraph"/>
              <w:numPr>
                <w:ilvl w:val="0"/>
                <w:numId w:val="2"/>
              </w:numPr>
              <w:spacing w:after="30" w:before="30"/>
            </w:pPr>
            <w:r>
              <w:rPr>
                <w:rFonts w:ascii="Arial" w:cs="Arial" w:eastAsia="Arial" w:hAnsi="Arial"/>
                <w:color w:val="1F1F1F"/>
                <w:sz w:val="20"/>
                <w:szCs w:val="20"/>
              </w:rPr>
              <w:t xml:space="preserve">AI Gateway: control plane único para acceso modelo a unstructured data, enforcing usage policies, logging cada retrieval (purpose, model, timestamp).</w:t>
            </w:r>
          </w:p>
          <w:p>
            <w:pPr>
              <w:pStyle w:val="ListParagraph"/>
              <w:numPr>
                <w:ilvl w:val="0"/>
                <w:numId w:val="2"/>
              </w:numPr>
              <w:spacing w:after="30" w:before="30"/>
            </w:pPr>
            <w:r>
              <w:rPr>
                <w:rFonts w:ascii="Arial" w:cs="Arial" w:eastAsia="Arial" w:hAnsi="Arial"/>
                <w:color w:val="1F1F1F"/>
                <w:sz w:val="20"/>
                <w:szCs w:val="20"/>
              </w:rPr>
              <w:t xml:space="preserve">Real-time anomaly detection en Kinesis streams para que data quality issues sean caught antes de que agentes actúen sobre data corrupta.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RAG grounding, AgentsFlow execution tracing, Kinesis streaming, multi-vector stores.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medallion layers, sin validación upstream automatizada, sin AI gateway, sin quality governance para outputs agente-generados.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#3</w:t>
            </w:r>
          </w:p>
        </w:tc>
        <w:tc>
          <w:tcPr>
            <w:tcW w:type="dxa" w:w="82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Pre-Deployment Agentic Testing Framework  </w:t>
            </w:r>
            <w:r>
              <w:rPr>
                <w:rFonts w:ascii="Arial" w:cs="Arial" w:eastAsia="Arial" w:hAnsi="Arial"/>
                <w:b w:val="false"/>
                <w:bCs w:val="false"/>
                <w:color w:val="595959"/>
                <w:sz w:val="20"/>
                <w:szCs w:val="20"/>
              </w:rPr>
              <w:t xml:space="preserve">[Governance]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Workflows agentic son fundamentalmente más difíciles de testear que software tradicional. Una falla de nodo en DAG puede cascading impredeciblemente — especialmente en multi-agente donde output de un agente es input de otro. McKinsey advierte explícitamente que el riesgo agentic outpaces enterprise risk management.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Shadow mode obligatorio: agentes corren contra data live pero outputs son logged y reviewed sin ejecutar acciones reales. Mínimo 2 semanas de observación antes de production promotion.</w:t>
            </w:r>
          </w:p>
          <w:p>
            <w:pPr>
              <w:pStyle w:val="ListParagraph"/>
              <w:numPr>
                <w:ilvl w:val="0"/>
                <w:numId w:val="2"/>
              </w:numPr>
              <w:spacing w:after="30" w:before="30"/>
            </w:pPr>
            <w:r>
              <w:rPr>
                <w:rFonts w:ascii="Arial" w:cs="Arial" w:eastAsia="Arial" w:hAnsi="Arial"/>
                <w:color w:val="1F1F1F"/>
                <w:sz w:val="20"/>
                <w:szCs w:val="20"/>
              </w:rPr>
              <w:t xml:space="preserve">Agentic red-team playbook: intentar sistemáticamente que agentes excedan autoridad, actúen en data malformada, entren en loops infinitos, tomen acciones irreversibles a escala, o sean manipulados por adversarial inputs.</w:t>
            </w:r>
          </w:p>
          <w:p>
            <w:pPr>
              <w:pStyle w:val="ListParagraph"/>
              <w:numPr>
                <w:ilvl w:val="0"/>
                <w:numId w:val="2"/>
              </w:numPr>
              <w:spacing w:after="30" w:before="30"/>
            </w:pPr>
            <w:r>
              <w:rPr>
                <w:rFonts w:ascii="Arial" w:cs="Arial" w:eastAsia="Arial" w:hAnsi="Arial"/>
                <w:color w:val="1F1F1F"/>
                <w:sz w:val="20"/>
                <w:szCs w:val="20"/>
              </w:rPr>
              <w:t xml:space="preserve">DAG chaos testing suite: inyectar aleatoriamente node failures, latency spikes, timeout errors, bad API responses en workflows pre-prod para validar error recovery, fallback routing, escalation.</w:t>
            </w:r>
          </w:p>
          <w:p>
            <w:pPr>
              <w:pStyle w:val="ListParagraph"/>
              <w:numPr>
                <w:ilvl w:val="0"/>
                <w:numId w:val="2"/>
              </w:numPr>
              <w:spacing w:after="30" w:before="30"/>
            </w:pPr>
            <w:r>
              <w:rPr>
                <w:rFonts w:ascii="Arial" w:cs="Arial" w:eastAsia="Arial" w:hAnsi="Arial"/>
                <w:color w:val="1F1F1F"/>
                <w:sz w:val="20"/>
                <w:szCs w:val="20"/>
              </w:rPr>
              <w:t xml:space="preserve">Automatic rollback: si error rate excede threshold en time window definido (e.g., 5% en 15 min), pause executions y alert on-call.</w:t>
            </w:r>
          </w:p>
          <w:p>
            <w:pPr>
              <w:pStyle w:val="ListParagraph"/>
              <w:numPr>
                <w:ilvl w:val="0"/>
                <w:numId w:val="2"/>
              </w:numPr>
              <w:spacing w:after="30" w:before="30"/>
            </w:pPr>
            <w:r>
              <w:rPr>
                <w:rFonts w:ascii="Arial" w:cs="Arial" w:eastAsia="Arial" w:hAnsi="Arial"/>
                <w:color w:val="1F1F1F"/>
                <w:sz w:val="20"/>
                <w:szCs w:val="20"/>
              </w:rPr>
              <w:t xml:space="preserve">Regression test library para cada production workflow: input/output contracts de cada nodo como tests automáticos en cada code change.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error recovery con retry, checkpoint/resume, human approval gates.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shadow mode, sin red-team methodology, sin chaos testing para DAG, sin automatic rollback protocols.</w:t>
            </w:r>
          </w:p>
        </w:tc>
      </w:tr>
    </w:tbl>
    <w:p>
      <w:r>
        <w:br w:type="page"/>
      </w:r>
    </w:p>
    <w:p>
      <w:pPr>
        <w:pStyle w:val="Heading2"/>
        <w:spacing w:after="160" w:before="280"/>
      </w:pPr>
      <w:r>
        <w:rPr>
          <w:rFonts w:ascii="Arial" w:cs="Arial" w:eastAsia="Arial" w:hAnsi="Arial"/>
          <w:b/>
          <w:bCs/>
          <w:color w:val="1F4E79"/>
          <w:sz w:val="28"/>
          <w:szCs w:val="28"/>
        </w:rPr>
        <w:t xml:space="preserve">6.2 High — Próximos 6 Meses</w:t>
      </w:r>
    </w:p>
    <w:p>
      <w:pPr>
        <w:spacing w:after="60" w:before="60"/>
      </w:pPr>
      <w:r>
        <w:rPr>
          <w:rFonts w:ascii="Arial" w:cs="Arial" w:eastAsia="Arial" w:hAnsi="Arial"/>
          <w:color w:val="1F1F1F"/>
        </w:rPr>
        <w:t xml:space="preserve">Cuatro recomendaciones que habilitan ramping seguro y cierran exposición regulatoria o competitiva. La aceleración de OntoGraph RAG (#4) merece atención particular: ya está en el roadmap interno y debe tratarse como near-term, no aspiracional.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#4</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Acelerar OntoGraph RAG (de roadmap a near-term)  </w:t>
            </w:r>
            <w:r>
              <w:rPr>
                <w:rFonts w:ascii="Arial" w:cs="Arial" w:eastAsia="Arial" w:hAnsi="Arial"/>
                <w:b w:val="false"/>
                <w:bCs w:val="false"/>
                <w:color w:val="595959"/>
                <w:sz w:val="20"/>
                <w:szCs w:val="20"/>
              </w:rPr>
              <w:t xml:space="preserve">[Architecture]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Vector search retrieves semánticamente similar — pero retail intelligence requiere multi-hop: "este producto está low-stock acá, lo que afecta el commitment promocional de esta marca, que dispara esta cláusula contractual…". Vector search no traversea esas relaciones. Acelerar OntoGraph RAG es la mayor palanca técnica disponible.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Construir ontología retail en ArangoDB (ya en stack): entidades (producto, location, brand, contract, field rep, planogram, inventory unit, promotion) y relaciones tipadas.</w:t>
            </w:r>
          </w:p>
          <w:p>
            <w:pPr>
              <w:pStyle w:val="ListParagraph"/>
              <w:numPr>
                <w:ilvl w:val="0"/>
                <w:numId w:val="2"/>
              </w:numPr>
              <w:spacing w:after="30" w:before="30"/>
            </w:pPr>
            <w:r>
              <w:rPr>
                <w:rFonts w:ascii="Arial" w:cs="Arial" w:eastAsia="Arial" w:hAnsi="Arial"/>
                <w:color w:val="1F1F1F"/>
                <w:sz w:val="20"/>
                <w:szCs w:val="20"/>
              </w:rPr>
              <w:t xml:space="preserve">GraphRAG como pathway paralelo: query classifier rutea por tipo (multi-entity reasoning → graph; semantic similarity → vector stores existentes).</w:t>
            </w:r>
          </w:p>
          <w:p>
            <w:pPr>
              <w:pStyle w:val="ListParagraph"/>
              <w:numPr>
                <w:ilvl w:val="0"/>
                <w:numId w:val="2"/>
              </w:numPr>
              <w:spacing w:after="30" w:before="30"/>
            </w:pPr>
            <w:r>
              <w:rPr>
                <w:rFonts w:ascii="Arial" w:cs="Arial" w:eastAsia="Arial" w:hAnsi="Arial"/>
                <w:color w:val="1F1F1F"/>
                <w:sz w:val="20"/>
                <w:szCs w:val="20"/>
              </w:rPr>
              <w:t xml:space="preserve">Indexar agent decision trails como graph edges: "Agent A retrieved node X, triggered Y, updated Z" → reasoning graph auditable, ataca directamente la brecha de gobernanza.</w:t>
            </w:r>
          </w:p>
          <w:p>
            <w:pPr>
              <w:pStyle w:val="ListParagraph"/>
              <w:numPr>
                <w:ilvl w:val="0"/>
                <w:numId w:val="2"/>
              </w:numPr>
              <w:spacing w:after="30" w:before="30"/>
            </w:pPr>
            <w:r>
              <w:rPr>
                <w:rFonts w:ascii="Arial" w:cs="Arial" w:eastAsia="Arial" w:hAnsi="Arial"/>
                <w:color w:val="1F1F1F"/>
                <w:sz w:val="20"/>
                <w:szCs w:val="20"/>
              </w:rPr>
              <w:t xml:space="preserve">Cross-domain proactive intelligence: graph traversal identifica alertas complejas sin esperar query — "3 productos de la misma brand simultáneamente OOS en mercados con promo Q4 activa".</w:t>
            </w:r>
          </w:p>
          <w:p>
            <w:pPr>
              <w:pStyle w:val="ListParagraph"/>
              <w:numPr>
                <w:ilvl w:val="0"/>
                <w:numId w:val="2"/>
              </w:numPr>
              <w:spacing w:after="30" w:before="30"/>
            </w:pPr>
            <w:r>
              <w:rPr>
                <w:rFonts w:ascii="Arial" w:cs="Arial" w:eastAsia="Arial" w:hAnsi="Arial"/>
                <w:color w:val="1F1F1F"/>
                <w:sz w:val="20"/>
                <w:szCs w:val="20"/>
              </w:rPr>
              <w:t xml:space="preserve">Migración incremental: empezar con inventory + planogram (highest ROI), validar performance, expandir a contracts, promotions, field rep management.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ArangoDB en stack. RAG y vector stores operacionales.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OntoGraph RAG listado como future. Sin retail ontology definida. Sin multi-hop query routing.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#5</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Observability y Cost Tracking de Agentes  </w:t>
            </w:r>
            <w:r>
              <w:rPr>
                <w:rFonts w:ascii="Arial" w:cs="Arial" w:eastAsia="Arial" w:hAnsi="Arial"/>
                <w:b w:val="false"/>
                <w:bCs w:val="false"/>
                <w:color w:val="595959"/>
                <w:sz w:val="20"/>
                <w:szCs w:val="20"/>
              </w:rPr>
              <w:t xml:space="preserve">[Architecture]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Routing vendor-agnostic en 300+ modelos es fortaleza estratégica — pero sin observability granular es imposible saber si el routing es óptimo. ¿Frontier models para tareas que un modelo más pequeño maneja igual? ¿Paths de agente consumiendo tokens desproporcionados? Sin telemetría, el Strategic Flywheel está ciego.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Telemetry event estructurado por nodo: timestamp, model, prompt tokens, completion tokens, latency, cost estimado, confidence, outcome (success/fallback/escalation/error).</w:t>
            </w:r>
          </w:p>
          <w:p>
            <w:pPr>
              <w:pStyle w:val="ListParagraph"/>
              <w:numPr>
                <w:ilvl w:val="0"/>
                <w:numId w:val="2"/>
              </w:numPr>
              <w:spacing w:after="30" w:before="30"/>
            </w:pPr>
            <w:r>
              <w:rPr>
                <w:rFonts w:ascii="Arial" w:cs="Arial" w:eastAsia="Arial" w:hAnsi="Arial"/>
                <w:color w:val="1F1F1F"/>
                <w:sz w:val="20"/>
                <w:szCs w:val="20"/>
              </w:rPr>
              <w:t xml:space="preserve">Dashboard de cost attribution: spend de inference por workflow, agent type, client account, model. Alimenta directamente el Strategic Flywheel.</w:t>
            </w:r>
          </w:p>
          <w:p>
            <w:pPr>
              <w:pStyle w:val="ListParagraph"/>
              <w:numPr>
                <w:ilvl w:val="0"/>
                <w:numId w:val="2"/>
              </w:numPr>
              <w:spacing w:after="30" w:before="30"/>
            </w:pPr>
            <w:r>
              <w:rPr>
                <w:rFonts w:ascii="Arial" w:cs="Arial" w:eastAsia="Arial" w:hAnsi="Arial"/>
                <w:color w:val="1F1F1F"/>
                <w:sz w:val="20"/>
                <w:szCs w:val="20"/>
              </w:rPr>
              <w:t xml:space="preserve">Performance regression detection automática: si accuracy de un modelo en task type cae week-over-week sobre threshold → alert antes de impactar producción.</w:t>
            </w:r>
          </w:p>
          <w:p>
            <w:pPr>
              <w:pStyle w:val="ListParagraph"/>
              <w:numPr>
                <w:ilvl w:val="0"/>
                <w:numId w:val="2"/>
              </w:numPr>
              <w:spacing w:after="30" w:before="30"/>
            </w:pPr>
            <w:r>
              <w:rPr>
                <w:rFonts w:ascii="Arial" w:cs="Arial" w:eastAsia="Arial" w:hAnsi="Arial"/>
                <w:color w:val="1F1F1F"/>
                <w:sz w:val="20"/>
                <w:szCs w:val="20"/>
              </w:rPr>
              <w:t xml:space="preserve">Routing optimizer: usar telemetry histórica para ajustar dinámicamente qué modelo maneja qué task type basado en cost-performance Pareto en tiempo real.</w:t>
            </w:r>
          </w:p>
          <w:p>
            <w:pPr>
              <w:pStyle w:val="ListParagraph"/>
              <w:numPr>
                <w:ilvl w:val="0"/>
                <w:numId w:val="2"/>
              </w:numPr>
              <w:spacing w:after="30" w:before="30"/>
            </w:pPr>
            <w:r>
              <w:rPr>
                <w:rFonts w:ascii="Arial" w:cs="Arial" w:eastAsia="Arial" w:hAnsi="Arial"/>
                <w:color w:val="1F1F1F"/>
                <w:sz w:val="20"/>
                <w:szCs w:val="20"/>
              </w:rPr>
              <w:t xml:space="preserve">Prompt drift tracking: comparar nuevo vs. viejo en golden test set antes de promote. Performance declining bloquea promotion.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registra cada nodo con timing. Cost awareness implícito en routing.</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telemetry estructurada. Sin cost attribution por workflow/cliente. Sin regression detection. Sin routing optimizer.</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#6</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Semantic Versioning para Prompts y Agents  </w:t>
            </w:r>
            <w:r>
              <w:rPr>
                <w:rFonts w:ascii="Arial" w:cs="Arial" w:eastAsia="Arial" w:hAnsi="Arial"/>
                <w:b w:val="false"/>
                <w:bCs w:val="false"/>
                <w:color w:val="595959"/>
                <w:sz w:val="20"/>
                <w:szCs w:val="20"/>
              </w:rPr>
              <w:t xml:space="preserve">[Architecture]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Los prompts son código. Los agentes son servicios. Ambos necesitan version control, change management, backward compatibility. A 5,000+ APIs y 2,500+ ETL, un edit a un prompt en el AgentCrew member equivocado puede degradar performance silenciosamente en cientos de workflows.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Prompts como artifacts versionados first-class en source control: cada prompt productivo tiene semver (major.minor.patch), changelog, performance benchmark, lista de workflows dependientes.</w:t>
            </w:r>
          </w:p>
          <w:p>
            <w:pPr>
              <w:pStyle w:val="ListParagraph"/>
              <w:numPr>
                <w:ilvl w:val="0"/>
                <w:numId w:val="2"/>
              </w:numPr>
              <w:spacing w:after="30" w:before="30"/>
            </w:pPr>
            <w:r>
              <w:rPr>
                <w:rFonts w:ascii="Arial" w:cs="Arial" w:eastAsia="Arial" w:hAnsi="Arial"/>
                <w:color w:val="1F1F1F"/>
                <w:sz w:val="20"/>
                <w:szCs w:val="20"/>
              </w:rPr>
              <w:t xml:space="preserve">Prompt registry central: store de todos los prompts productivos con version history, performance, deployment status, dependency graph downstream.</w:t>
            </w:r>
          </w:p>
          <w:p>
            <w:pPr>
              <w:pStyle w:val="ListParagraph"/>
              <w:numPr>
                <w:ilvl w:val="0"/>
                <w:numId w:val="2"/>
              </w:numPr>
              <w:spacing w:after="30" w:before="30"/>
            </w:pPr>
            <w:r>
              <w:rPr>
                <w:rFonts w:ascii="Arial" w:cs="Arial" w:eastAsia="Arial" w:hAnsi="Arial"/>
                <w:color w:val="1F1F1F"/>
                <w:sz w:val="20"/>
                <w:szCs w:val="20"/>
              </w:rPr>
              <w:t xml:space="preserve">Canary release: nueva versión sale a 5% del tráfico, comparison automática vs. current durante observation window antes de full promotion.</w:t>
            </w:r>
          </w:p>
          <w:p>
            <w:pPr>
              <w:pStyle w:val="ListParagraph"/>
              <w:numPr>
                <w:ilvl w:val="0"/>
                <w:numId w:val="2"/>
              </w:numPr>
              <w:spacing w:after="30" w:before="30"/>
            </w:pPr>
            <w:r>
              <w:rPr>
                <w:rFonts w:ascii="Arial" w:cs="Arial" w:eastAsia="Arial" w:hAnsi="Arial"/>
                <w:color w:val="1F1F1F"/>
                <w:sz w:val="20"/>
                <w:szCs w:val="20"/>
              </w:rPr>
              <w:t xml:space="preserve">Agent interface contracts: I/O schemas de cada AgentCrew member como contratos formales. Cambio que rompe contrato = major version bump.</w:t>
            </w:r>
          </w:p>
          <w:p>
            <w:pPr>
              <w:pStyle w:val="ListParagraph"/>
              <w:numPr>
                <w:ilvl w:val="0"/>
                <w:numId w:val="2"/>
              </w:numPr>
              <w:spacing w:after="30" w:before="30"/>
            </w:pPr>
            <w:r>
              <w:rPr>
                <w:rFonts w:ascii="Arial" w:cs="Arial" w:eastAsia="Arial" w:hAnsi="Arial"/>
                <w:color w:val="1F1F1F"/>
                <w:sz w:val="20"/>
                <w:szCs w:val="20"/>
              </w:rPr>
              <w:t xml:space="preserve">Prompt unit tests: golden datasets que cada prompt productivo debe pasar antes de deploy. Failing tests bloquean promotion.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execution tracing → visibility post-hoc del comportamiento.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prompt registry. Sin semantic versioning. Sin canary process. Sin regression tests automatizados para prompts.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#8</w:t>
            </w:r>
          </w:p>
        </w:tc>
        <w:tc>
          <w:tcPr>
            <w:tcW w:type="dxa" w:w="826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Consumer Transparency Layer para NEXUS  </w:t>
            </w:r>
            <w:r>
              <w:rPr>
                <w:rFonts w:ascii="Arial" w:cs="Arial" w:eastAsia="Arial" w:hAnsi="Arial"/>
                <w:b w:val="false"/>
                <w:bCs w:val="false"/>
                <w:color w:val="595959"/>
                <w:sz w:val="20"/>
                <w:szCs w:val="20"/>
              </w:rPr>
              <w:t xml:space="preserve">[Governance]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Entornos regulatorios (EU AI Act, FTC guidelines, leyes estatales en US) se mueven rápidamente hacia AI disclosure mandatoria en consumer-facing. Anticiparse es mitigación de riesgo legal y diferenciador de marca — la transparencia puede ser conversion driver, no barrera.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Tiered disclosure: indicador friendly "You're talking with an AI assistant" siempre visible durante interacciones VIBA + opción one-tap para human specialist.</w:t>
            </w:r>
          </w:p>
          <w:p>
            <w:pPr>
              <w:pStyle w:val="ListParagraph"/>
              <w:numPr>
                <w:ilvl w:val="0"/>
                <w:numId w:val="2"/>
              </w:numPr>
              <w:spacing w:after="30" w:before="30"/>
            </w:pPr>
            <w:r>
              <w:rPr>
                <w:rFonts w:ascii="Arial" w:cs="Arial" w:eastAsia="Arial" w:hAnsi="Arial"/>
                <w:color w:val="1F1F1F"/>
                <w:sz w:val="20"/>
                <w:szCs w:val="20"/>
              </w:rPr>
              <w:t xml:space="preserve">Data consent flow para zero-party data (dwell time, conversation sentiment, product inquiries): opt-in claro y explícito antes de capturar — refuerza defensibilidad legal del DaaS model.</w:t>
            </w:r>
          </w:p>
          <w:p>
            <w:pPr>
              <w:pStyle w:val="ListParagraph"/>
              <w:numPr>
                <w:ilvl w:val="0"/>
                <w:numId w:val="2"/>
              </w:numPr>
              <w:spacing w:after="30" w:before="30"/>
            </w:pPr>
            <w:r>
              <w:rPr>
                <w:rFonts w:ascii="Arial" w:cs="Arial" w:eastAsia="Arial" w:hAnsi="Arial"/>
                <w:color w:val="1F1F1F"/>
                <w:sz w:val="20"/>
                <w:szCs w:val="20"/>
              </w:rPr>
              <w:t xml:space="preserve">Confidence indicator en respuestas VIBA: cuando confidence cae bajo threshold en edge-case product questions, VIBA proactivamente ofrece connect a human specialist en lugar de generar respuesta low-confidence.</w:t>
            </w:r>
          </w:p>
          <w:p>
            <w:pPr>
              <w:pStyle w:val="ListParagraph"/>
              <w:numPr>
                <w:ilvl w:val="0"/>
                <w:numId w:val="2"/>
              </w:numPr>
              <w:spacing w:after="30" w:before="30"/>
            </w:pPr>
            <w:r>
              <w:rPr>
                <w:rFonts w:ascii="Arial" w:cs="Arial" w:eastAsia="Arial" w:hAnsi="Arial"/>
                <w:color w:val="1F1F1F"/>
                <w:sz w:val="20"/>
                <w:szCs w:val="20"/>
              </w:rPr>
              <w:t xml:space="preserve">Logging y retention policy para todas las interacciones consumer-facing AI, distinto del enterprise telemetry log y gobernado bajo privacy frameworks.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VIBA tiene seamless handoff a human experts. Conversational logging operacional.</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consumer AI disclosure framework formal. Sin data consent flow para zero-party data. Sin confidence-based escalation como policy requirement.</w:t>
            </w:r>
          </w:p>
        </w:tc>
      </w:tr>
    </w:tbl>
    <w:p>
      <w:r>
        <w:br w:type="page"/>
      </w:r>
    </w:p>
    <w:p>
      <w:pPr>
        <w:pStyle w:val="Heading2"/>
        <w:spacing w:after="160" w:before="280"/>
      </w:pPr>
      <w:r>
        <w:rPr>
          <w:rFonts w:ascii="Arial" w:cs="Arial" w:eastAsia="Arial" w:hAnsi="Arial"/>
          <w:b/>
          <w:bCs/>
          <w:color w:val="1F4E79"/>
          <w:sz w:val="28"/>
          <w:szCs w:val="28"/>
        </w:rPr>
        <w:t xml:space="preserve">6.3 Major — 6 a 12 Meses</w:t>
      </w:r>
    </w:p>
    <w:p>
      <w:pPr>
        <w:spacing w:after="60" w:before="60"/>
      </w:pPr>
      <w:r>
        <w:rPr>
          <w:rFonts w:ascii="Arial" w:cs="Arial" w:eastAsia="Arial" w:hAnsi="Arial"/>
          <w:color w:val="1F1F1F"/>
        </w:rPr>
        <w:t xml:space="preserve">Tres palancas significativas a medio plazo: la primera (data products) es prerrequisito para escalar de docenas a cientos de workflows sin duplicación; la segunda (routing optimizer) explota activamente el catálogo 300+ LLMs; la tercera (federated operating model) escala la organización sin fragmentar gobernanza.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#9</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Data Product Layer para Inputs Reusables  </w:t>
            </w:r>
            <w:r>
              <w:rPr>
                <w:rFonts w:ascii="Arial" w:cs="Arial" w:eastAsia="Arial" w:hAnsi="Arial"/>
                <w:b w:val="false"/>
                <w:bCs w:val="false"/>
                <w:color w:val="595959"/>
                <w:sz w:val="20"/>
                <w:szCs w:val="20"/>
              </w:rPr>
              <w:t xml:space="preserve">[Data Quality]</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McKinsey llama explícitamente a data reuse como crítico para modelos agentic escalados. Cada workflow construyendo sus propios access patterns duplica esfuerzo, crea inconsistencias, y dificulta enforcing quality uniformemente. A medida que el número de workflows crece de docenas a cientos, esta duplicación se vuelve exponencialmente más difícil de manejar.</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Data products canónicos para los datasets más accedidos: inventory levels by location, planogram compliance by store, product catalog con pricing y promo status, field rep location/availability, brand contracts y SLA requirements. Cada uno con owner, quality SLA, version, consumption API estable.</w:t>
            </w:r>
          </w:p>
          <w:p>
            <w:pPr>
              <w:pStyle w:val="ListParagraph"/>
              <w:numPr>
                <w:ilvl w:val="0"/>
                <w:numId w:val="2"/>
              </w:numPr>
              <w:spacing w:after="30" w:before="30"/>
            </w:pPr>
            <w:r>
              <w:rPr>
                <w:rFonts w:ascii="Arial" w:cs="Arial" w:eastAsia="Arial" w:hAnsi="Arial"/>
                <w:color w:val="1F1F1F"/>
                <w:sz w:val="20"/>
                <w:szCs w:val="20"/>
              </w:rPr>
              <w:t xml:space="preserve">Data product catalog: registry interno searchable donde devs descubren qué curated data existe antes de construir custom access — previene pipelines duplicadas, hereda quality standards.</w:t>
            </w:r>
          </w:p>
          <w:p>
            <w:pPr>
              <w:pStyle w:val="ListParagraph"/>
              <w:numPr>
                <w:ilvl w:val="0"/>
                <w:numId w:val="2"/>
              </w:numPr>
              <w:spacing w:after="30" w:before="30"/>
            </w:pPr>
            <w:r>
              <w:rPr>
                <w:rFonts w:ascii="Arial" w:cs="Arial" w:eastAsia="Arial" w:hAnsi="Arial"/>
                <w:color w:val="1F1F1F"/>
                <w:sz w:val="20"/>
                <w:szCs w:val="20"/>
              </w:rPr>
              <w:t xml:space="preserve">Tracking de consumo: qué agentes usan qué data products, frequency, downstream outcomes. Habilita prioritización de quality investment hacia los products con mayor agent dependency.</w:t>
            </w:r>
          </w:p>
          <w:p>
            <w:pPr>
              <w:pStyle w:val="ListParagraph"/>
              <w:numPr>
                <w:ilvl w:val="0"/>
                <w:numId w:val="2"/>
              </w:numPr>
              <w:spacing w:after="30" w:before="30"/>
            </w:pPr>
            <w:r>
              <w:rPr>
                <w:rFonts w:ascii="Arial" w:cs="Arial" w:eastAsia="Arial" w:hAnsi="Arial"/>
                <w:color w:val="1F1F1F"/>
                <w:sz w:val="20"/>
                <w:szCs w:val="20"/>
              </w:rPr>
              <w:t xml:space="preserve">Dashboards de SLA: freshness, completeness, accuracy — visibles a todos los devs y en platform health dashboard.</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Multiple vector backends y ETL pipelines existentes. RAG retrieves de internal KBs.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data product catalog formal. Sin product-level SLAs. Sin consumption tracking.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#10</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Intelligent Model Routing Optimizer  </w:t>
            </w:r>
            <w:r>
              <w:rPr>
                <w:rFonts w:ascii="Arial" w:cs="Arial" w:eastAsia="Arial" w:hAnsi="Arial"/>
                <w:b w:val="false"/>
                <w:bCs w:val="false"/>
                <w:color w:val="595959"/>
                <w:sz w:val="20"/>
                <w:szCs w:val="20"/>
              </w:rPr>
              <w:t xml:space="preserve">[Architecture]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El catálogo 300+ LLMs es moat genuino — pero solo se explota si decisiones de routing son data-driven, no manualmente configuradas. Frontier para classification simple desperdicia costo significativo. Fast inference para multi-hop reasoning degrada quality. A 2,500+ ETL, configuración manual no escala.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Task taxonomy: clasificar cada agent task en types (structured extraction, semantic reasoning, creative synthesis, code gen, classification binaria, summarization, multi-hop relational). Cada type con tier de modelo recomendado por accuracy y cost benchmarked.</w:t>
            </w:r>
          </w:p>
          <w:p>
            <w:pPr>
              <w:pStyle w:val="ListParagraph"/>
              <w:numPr>
                <w:ilvl w:val="0"/>
                <w:numId w:val="2"/>
              </w:numPr>
              <w:spacing w:after="30" w:before="30"/>
            </w:pPr>
            <w:r>
              <w:rPr>
                <w:rFonts w:ascii="Arial" w:cs="Arial" w:eastAsia="Arial" w:hAnsi="Arial"/>
                <w:color w:val="1F1F1F"/>
                <w:sz w:val="20"/>
                <w:szCs w:val="20"/>
              </w:rPr>
              <w:t xml:space="preserve">Cost-performance routing automático: por task type, leaderboard live de modelos ranqueados por accuracy-per-dollar basado en telemetry productiva (de #5). Route al top performer, update semanal.</w:t>
            </w:r>
          </w:p>
          <w:p>
            <w:pPr>
              <w:pStyle w:val="ListParagraph"/>
              <w:numPr>
                <w:ilvl w:val="0"/>
                <w:numId w:val="2"/>
              </w:numPr>
              <w:spacing w:after="30" w:before="30"/>
            </w:pPr>
            <w:r>
              <w:rPr>
                <w:rFonts w:ascii="Arial" w:cs="Arial" w:eastAsia="Arial" w:hAnsi="Arial"/>
                <w:color w:val="1F1F1F"/>
                <w:sz w:val="20"/>
                <w:szCs w:val="20"/>
              </w:rPr>
              <w:t xml:space="preserve">Model tryout: developers corren mismo task batch a través de múltiples modelos simultáneamente, comparan side-by-side antes de routing decision. Hace los 300+ modelos activamente accesibles, no solo teóricamente.</w:t>
            </w:r>
          </w:p>
          <w:p>
            <w:pPr>
              <w:pStyle w:val="ListParagraph"/>
              <w:numPr>
                <w:ilvl w:val="0"/>
                <w:numId w:val="2"/>
              </w:numPr>
              <w:spacing w:after="30" w:before="30"/>
            </w:pPr>
            <w:r>
              <w:rPr>
                <w:rFonts w:ascii="Arial" w:cs="Arial" w:eastAsia="Arial" w:hAnsi="Arial"/>
                <w:color w:val="1F1F1F"/>
                <w:sz w:val="20"/>
                <w:szCs w:val="20"/>
              </w:rPr>
              <w:t xml:space="preserve">Latency-aware routing: durante peak load, rutear tasks lower-priority a modelos más rápidos/baratos, preservando frontier capacity para time-critical (NEXUS live sales, real-time shelf alerts).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Routing vendor-agnostic en 300+ LLMs. Toolkits modelo-específicos (Groq) configurados.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routing optimizer automatizado. Sin task taxonomy. Sin leaderboard cost-performance. Sin model tryout para devs.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#11</w:t>
            </w:r>
          </w:p>
        </w:tc>
        <w:tc>
          <w:tcPr>
            <w:tcW w:type="dxa" w:w="826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Federated Operating Model para Agent Ownership  </w:t>
            </w:r>
            <w:r>
              <w:rPr>
                <w:rFonts w:ascii="Arial" w:cs="Arial" w:eastAsia="Arial" w:hAnsi="Arial"/>
                <w:b w:val="false"/>
                <w:bCs w:val="false"/>
                <w:color w:val="595959"/>
                <w:sz w:val="20"/>
                <w:szCs w:val="20"/>
              </w:rPr>
              <w:t xml:space="preserve">[Operations]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 medida que Parrot escala a Retail360, NEXUS, Shoply y AI Concierges, la pregunta de quién owns qué agente se vuelve operacionalmente crítica. Si central AI team owns todo, la innovación se vuelve queue. Si domain teams own todo independientemente, los standards fragmentan. El modelo federado McKinsey — domain ownership dentro de framework central — es la única arquitectura que escala sustentablemente.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Central AI team owns: plataforma AI-Parrot, agent catalog standards, framework de gobernanza, data product quality standards, routing infrastructure, security/compliance guardrails, observability platform compartida.</w:t>
            </w:r>
          </w:p>
          <w:p>
            <w:pPr>
              <w:pStyle w:val="ListParagraph"/>
              <w:numPr>
                <w:ilvl w:val="0"/>
                <w:numId w:val="2"/>
              </w:numPr>
              <w:spacing w:after="30" w:before="30"/>
            </w:pPr>
            <w:r>
              <w:rPr>
                <w:rFonts w:ascii="Arial" w:cs="Arial" w:eastAsia="Arial" w:hAnsi="Arial"/>
                <w:color w:val="1F1F1F"/>
                <w:sz w:val="20"/>
                <w:szCs w:val="20"/>
              </w:rPr>
              <w:t xml:space="preserve">Domain teams own: sus AgentsFlow workflows específicos, agent configurations dentro del catalog aprobado, data product consumption patterns, KPIs de negocio.</w:t>
            </w:r>
          </w:p>
          <w:p>
            <w:pPr>
              <w:pStyle w:val="ListParagraph"/>
              <w:numPr>
                <w:ilvl w:val="0"/>
                <w:numId w:val="2"/>
              </w:numPr>
              <w:spacing w:after="30" w:before="30"/>
            </w:pPr>
            <w:r>
              <w:rPr>
                <w:rFonts w:ascii="Arial" w:cs="Arial" w:eastAsia="Arial" w:hAnsi="Arial"/>
                <w:color w:val="1F1F1F"/>
                <w:sz w:val="20"/>
                <w:szCs w:val="20"/>
              </w:rPr>
              <w:t xml:space="preserve">Agent production readiness review: antes de promote workflow a producción, lightweight central review de gobernanza, security, observability, rollback. Target 5-day cycle.</w:t>
            </w:r>
          </w:p>
          <w:p>
            <w:pPr>
              <w:pStyle w:val="ListParagraph"/>
              <w:numPr>
                <w:ilvl w:val="0"/>
                <w:numId w:val="2"/>
              </w:numPr>
              <w:spacing w:after="30" w:before="30"/>
            </w:pPr>
            <w:r>
              <w:rPr>
                <w:rFonts w:ascii="Arial" w:cs="Arial" w:eastAsia="Arial" w:hAnsi="Arial"/>
                <w:color w:val="1F1F1F"/>
                <w:sz w:val="20"/>
                <w:szCs w:val="20"/>
              </w:rPr>
              <w:t xml:space="preserve">Cross-domain agent community of practice: sync bi-weekly entre domain teams para compartir patrones, identificar agent nodes reusables, prevenir duplicación. Owns el cookbook interno de agentes.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Equipos VIBA y AI-Parrot separados demuestran cierta especialización por dominio.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modelo federado formal. Sin split definido central vs. domain. Sin production readiness review.</w:t>
            </w:r>
          </w:p>
        </w:tc>
      </w:tr>
    </w:tbl>
    <w:p>
      <w:r>
        <w:br w:type="page"/>
      </w:r>
    </w:p>
    <w:p>
      <w:pPr>
        <w:pStyle w:val="Heading2"/>
        <w:spacing w:after="160" w:before="280"/>
      </w:pPr>
      <w:r>
        <w:rPr>
          <w:rFonts w:ascii="Arial" w:cs="Arial" w:eastAsia="Arial" w:hAnsi="Arial"/>
          <w:b/>
          <w:bCs/>
          <w:color w:val="1F4E79"/>
          <w:sz w:val="28"/>
          <w:szCs w:val="28"/>
        </w:rPr>
        <w:t xml:space="preserve">6.4 Minor — Quality-of-Life Foundational</w:t>
      </w:r>
    </w:p>
    <w:p>
      <w:pPr>
        <w:spacing w:after="60" w:before="60"/>
      </w:pPr>
      <w:r>
        <w:rPr>
          <w:rFonts w:ascii="Arial" w:cs="Arial" w:eastAsia="Arial" w:hAnsi="Arial"/>
          <w:color w:val="1F1F1F"/>
        </w:rPr>
        <w:t xml:space="preserve">Dos recomendaciones que elevan velocidad y calidad sin ser bloqueantes para escalar — pero su ausencia se compone con el tiempo a medida que el equipo crece y se complejiza.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#7</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No-Code Workflow Builder para Business Users  </w:t>
            </w:r>
            <w:r>
              <w:rPr>
                <w:rFonts w:ascii="Arial" w:cs="Arial" w:eastAsia="Arial" w:hAnsi="Arial"/>
                <w:b w:val="false"/>
                <w:bCs w:val="false"/>
                <w:color w:val="595959"/>
                <w:sz w:val="20"/>
                <w:szCs w:val="20"/>
              </w:rPr>
              <w:t xml:space="preserve">[Developer Experience]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McKinsey enfatiza que senior business leaders deben estar "in the driver's seat". Hoy, construir un nuevo AgentsFlow workflow requiere ingeniería. Esto crea bottleneck, lentifica iteración de meses a sprints, y mantiene a líderes de negocio dependientes para explorar use cases en sus dominios.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Drag-and-drop canvas sobre AgentsFlow: usuarios de negocio arrastran agent nodes pre-certified, conectan visualmente, configuran params sin escribir DAG ni JSON.</w:t>
            </w:r>
          </w:p>
          <w:p>
            <w:pPr>
              <w:pStyle w:val="ListParagraph"/>
              <w:numPr>
                <w:ilvl w:val="0"/>
                <w:numId w:val="2"/>
              </w:numPr>
              <w:spacing w:after="30" w:before="30"/>
            </w:pPr>
            <w:r>
              <w:rPr>
                <w:rFonts w:ascii="Arial" w:cs="Arial" w:eastAsia="Arial" w:hAnsi="Arial"/>
                <w:color w:val="1F1F1F"/>
                <w:sz w:val="20"/>
                <w:szCs w:val="20"/>
              </w:rPr>
              <w:t xml:space="preserve">Agent catalog curado dentro del builder: nodes pre-built governance-approved para tareas T-ROC más comunes — shelf audit, inventory check, compliance review, notification dispatch, POS query, report generation. Cada uno con descripción plain-language y permisos requeridos.</w:t>
            </w:r>
          </w:p>
          <w:p>
            <w:pPr>
              <w:pStyle w:val="ListParagraph"/>
              <w:numPr>
                <w:ilvl w:val="0"/>
                <w:numId w:val="2"/>
              </w:numPr>
              <w:spacing w:after="30" w:before="30"/>
            </w:pPr>
            <w:r>
              <w:rPr>
                <w:rFonts w:ascii="Arial" w:cs="Arial" w:eastAsia="Arial" w:hAnsi="Arial"/>
                <w:color w:val="1F1F1F"/>
                <w:sz w:val="20"/>
                <w:szCs w:val="20"/>
              </w:rPr>
              <w:t xml:space="preserve">Natural language workflow description: usuarios describen lo que quieren en inglés/español plano y el sistema propone DAG structure para review e ingeniería approval antes de deploy.</w:t>
            </w:r>
          </w:p>
          <w:p>
            <w:pPr>
              <w:pStyle w:val="ListParagraph"/>
              <w:numPr>
                <w:ilvl w:val="0"/>
                <w:numId w:val="2"/>
              </w:numPr>
              <w:spacing w:after="30" w:before="30"/>
            </w:pPr>
            <w:r>
              <w:rPr>
                <w:rFonts w:ascii="Arial" w:cs="Arial" w:eastAsia="Arial" w:hAnsi="Arial"/>
                <w:color w:val="1F1F1F"/>
                <w:sz w:val="20"/>
                <w:szCs w:val="20"/>
              </w:rPr>
              <w:t xml:space="preserve">Workflow sandbox: cada workflow user-built corre primero en shadow env con datos simulados — usuario valida comportamiento antes de pedir review de ingeniería.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DAG engine provee la capacidad subyacente. Pre-built toolkits existen.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visual builder. Sin agent catalog para business users. Sin natural language description. Creación de workflow requiere ingeniería.</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#12</w:t>
            </w:r>
          </w:p>
        </w:tc>
        <w:tc>
          <w:tcPr>
            <w:tcW w:type="dxa" w:w="826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Agent Developer SDK y Local Development Environment  </w:t>
            </w:r>
            <w:r>
              <w:rPr>
                <w:rFonts w:ascii="Arial" w:cs="Arial" w:eastAsia="Arial" w:hAnsi="Arial"/>
                <w:b w:val="false"/>
                <w:bCs w:val="false"/>
                <w:color w:val="595959"/>
                <w:sz w:val="20"/>
                <w:szCs w:val="20"/>
              </w:rPr>
              <w:t xml:space="preserve">[Developer Experience]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 5,000+ APIs y 2,500+ ETL, AI-Parrot es plataforma mission-critical. Sin SDK claro, local dev story, ni debugging toolchain, nuevos developers enfrentan curva de aprendizaje empinada. Cada hora ahorrada en el inner dev loop se multiplica por todo el equipo.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Python SDK con interfaces type-safe a cada AgentCrew role, AgentsFlow node type, RAG retrieval method, data product consumption API — full IDE autocomplete e inline docs.</w:t>
            </w:r>
          </w:p>
          <w:p>
            <w:pPr>
              <w:pStyle w:val="ListParagraph"/>
              <w:numPr>
                <w:ilvl w:val="0"/>
                <w:numId w:val="2"/>
              </w:numPr>
              <w:spacing w:after="30" w:before="30"/>
            </w:pPr>
            <w:r>
              <w:rPr>
                <w:rFonts w:ascii="Arial" w:cs="Arial" w:eastAsia="Arial" w:hAnsi="Arial"/>
                <w:color w:val="1F1F1F"/>
                <w:sz w:val="20"/>
                <w:szCs w:val="20"/>
              </w:rPr>
              <w:t xml:space="preserve">Local dev env via Docker Compose: stack AI-Parrot completo local con mock APIs externas y LLM local via Ollama (ya en stack) — fast iteration sin cloud cost ni production data exposure.</w:t>
            </w:r>
          </w:p>
          <w:p>
            <w:pPr>
              <w:pStyle w:val="ListParagraph"/>
              <w:numPr>
                <w:ilvl w:val="0"/>
                <w:numId w:val="2"/>
              </w:numPr>
              <w:spacing w:after="30" w:before="30"/>
            </w:pPr>
            <w:r>
              <w:rPr>
                <w:rFonts w:ascii="Arial" w:cs="Arial" w:eastAsia="Arial" w:hAnsi="Arial"/>
                <w:color w:val="1F1F1F"/>
                <w:sz w:val="20"/>
                <w:szCs w:val="20"/>
              </w:rPr>
              <w:t xml:space="preserve">AgentsFlow visual debugger: step-through DAG execution nodo por nodo, inspect inputs/outputs en cada step, replay desde saved state, ver exactamente qué prompt fue a qué modelo en cada decisión.</w:t>
            </w:r>
          </w:p>
          <w:p>
            <w:pPr>
              <w:pStyle w:val="ListParagraph"/>
              <w:numPr>
                <w:ilvl w:val="0"/>
                <w:numId w:val="2"/>
              </w:numPr>
              <w:spacing w:after="30" w:before="30"/>
            </w:pPr>
            <w:r>
              <w:rPr>
                <w:rFonts w:ascii="Arial" w:cs="Arial" w:eastAsia="Arial" w:hAnsi="Arial"/>
                <w:color w:val="1F1F1F"/>
                <w:sz w:val="20"/>
                <w:szCs w:val="20"/>
              </w:rPr>
              <w:t xml:space="preserve">Agent scaffold CLI: un comando genera boilerplate (schema, tests, observability hooks, governance metadata, permission manifest) — devs empiezan desde template compliant.</w:t>
            </w:r>
          </w:p>
          <w:p>
            <w:pPr>
              <w:pStyle w:val="ListParagraph"/>
              <w:numPr>
                <w:ilvl w:val="0"/>
                <w:numId w:val="2"/>
              </w:numPr>
              <w:spacing w:after="30" w:before="30"/>
            </w:pPr>
            <w:r>
              <w:rPr>
                <w:rFonts w:ascii="Arial" w:cs="Arial" w:eastAsia="Arial" w:hAnsi="Arial"/>
                <w:color w:val="1F1F1F"/>
                <w:sz w:val="20"/>
                <w:szCs w:val="20"/>
              </w:rPr>
              <w:t xml:space="preserve">Agent cookbook interno: living collection de patrones AgentsFlow production-tested para tareas más comunes, anotados con benchmarks, edge cases, lessons learned.</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execution tracing post-execution. Ollama y vLLM disponibles para local model.</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Python SDK. Sin local dev env. Sin visual debugger. Sin scaffold CLI. Sin patterns library documentada.</w:t>
            </w:r>
          </w:p>
        </w:tc>
      </w:tr>
    </w:tbl>
    <w:p>
      <w:r>
        <w:br w:type="page"/>
      </w:r>
    </w:p>
    <w:p>
      <w:pPr>
        <w:pStyle w:val="Heading2"/>
        <w:spacing w:after="160" w:before="280"/>
      </w:pPr>
      <w:r>
        <w:rPr>
          <w:rFonts w:ascii="Arial" w:cs="Arial" w:eastAsia="Arial" w:hAnsi="Arial"/>
          <w:b/>
          <w:bCs/>
          <w:color w:val="1F4E79"/>
          <w:sz w:val="28"/>
          <w:szCs w:val="28"/>
        </w:rPr>
        <w:t xml:space="preserve">6.5 Improvement — Moats Estratégicos a Largo Plazo</w:t>
      </w:r>
    </w:p>
    <w:p>
      <w:pPr>
        <w:spacing w:after="60" w:before="60"/>
      </w:pPr>
      <w:r>
        <w:rPr>
          <w:rFonts w:ascii="Arial" w:cs="Arial" w:eastAsia="Arial" w:hAnsi="Arial"/>
          <w:color w:val="1F1F1F"/>
        </w:rPr>
        <w:t xml:space="preserve">Cuatro inversiones que no son urgentes pero construyen diferenciación competitiva sostenida y cierran las brechas organizacionales (adoption, governance) que McKinsey identifica como definitorias de quién lidera vs. sigue en la era agentic.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#13</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Agent Adoption &amp; Onboarding Program  </w:t>
            </w:r>
            <w:r>
              <w:rPr>
                <w:rFonts w:ascii="Arial" w:cs="Arial" w:eastAsia="Arial" w:hAnsi="Arial"/>
                <w:b w:val="false"/>
                <w:bCs w:val="false"/>
                <w:color w:val="595959"/>
                <w:sz w:val="20"/>
                <w:szCs w:val="20"/>
              </w:rPr>
              <w:t xml:space="preserve">[Operations]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El theme #9 del manifesto McKinsey: adoption es "one of the hardest challenges". Los $12M de recovery y el 25–35% de commission uplift dependen de field teams cambiando cómo trabajan en respuesta a outputs AI. La arquitectura habilita el cambio; solo un programa estructurado lo entrega.</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Onboarding playbooks por rol: field reps (cómo interpretar shelf alerts AI y actuar en time window), store managers (cómo supervisar AI-driven workflows y override), brand ambassador coaches (cómo usar InSight para guiar performance conversations).</w:t>
            </w:r>
          </w:p>
          <w:p>
            <w:pPr>
              <w:pStyle w:val="ListParagraph"/>
              <w:numPr>
                <w:ilvl w:val="0"/>
                <w:numId w:val="2"/>
              </w:numPr>
              <w:spacing w:after="30" w:before="30"/>
            </w:pPr>
            <w:r>
              <w:rPr>
                <w:rFonts w:ascii="Arial" w:cs="Arial" w:eastAsia="Arial" w:hAnsi="Arial"/>
                <w:color w:val="1F1F1F"/>
                <w:sz w:val="20"/>
                <w:szCs w:val="20"/>
              </w:rPr>
              <w:t xml:space="preserve">A/B pilots AI-asistido vs. tradicional antes de full rollout: medir actual behavior change y commission impact. Resultados → business case interno, refinamiento de onboarding, demo de ROI a brand clients.</w:t>
            </w:r>
          </w:p>
          <w:p>
            <w:pPr>
              <w:pStyle w:val="ListParagraph"/>
              <w:numPr>
                <w:ilvl w:val="0"/>
                <w:numId w:val="2"/>
              </w:numPr>
              <w:spacing w:after="30" w:before="30"/>
            </w:pPr>
            <w:r>
              <w:rPr>
                <w:rFonts w:ascii="Arial" w:cs="Arial" w:eastAsia="Arial" w:hAnsi="Arial"/>
                <w:color w:val="1F1F1F"/>
                <w:sz w:val="20"/>
                <w:szCs w:val="20"/>
              </w:rPr>
              <w:t xml:space="preserve">Feedback loops: thumbs-up/thumbs-down en cada AI output, feedeado al RAG y model evaluation pipeline. Continuous improvement loop donde frontline usage mejora model quality.</w:t>
            </w:r>
          </w:p>
          <w:p>
            <w:pPr>
              <w:pStyle w:val="ListParagraph"/>
              <w:numPr>
                <w:ilvl w:val="0"/>
                <w:numId w:val="2"/>
              </w:numPr>
              <w:spacing w:after="30" w:before="30"/>
            </w:pPr>
            <w:r>
              <w:rPr>
                <w:rFonts w:ascii="Arial" w:cs="Arial" w:eastAsia="Arial" w:hAnsi="Arial"/>
                <w:color w:val="1F1F1F"/>
                <w:sz w:val="20"/>
                <w:szCs w:val="20"/>
              </w:rPr>
              <w:t xml:space="preserve">Celebrate early wins públicamente: showcase de field reps específicos que usaron Parrot para recover stockout, close NEXUS sale, exceder commission targets. Hacer Labor Inverse feel como empoderamiento, no replacement.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InSight platform ya demuestra commission uplift. Multi-channel notification.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onboarding program estructurado. Sin A/B testing framework. Sin feedback loop de field actions a model improvement.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#14</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Platform Roadmap con Milestones Publicados  </w:t>
            </w:r>
            <w:r>
              <w:rPr>
                <w:rFonts w:ascii="Arial" w:cs="Arial" w:eastAsia="Arial" w:hAnsi="Arial"/>
                <w:b w:val="false"/>
                <w:bCs w:val="false"/>
                <w:color w:val="595959"/>
                <w:sz w:val="20"/>
                <w:szCs w:val="20"/>
              </w:rPr>
              <w:t xml:space="preserve">[Developer Experience]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McKinsey es explícito: las plataformas son strategic assets que deben gestionarse con dedicated teams, roadmaps, budgets y target service levels — no como IT infrastructure interno. Sin roadmap visible, los domain teams no pueden planear sus workflows, y stakeholders no ven hacia dónde va la plataforma. Esto crea uncertainty que lentifica adoption.</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Roadmap quarterly: nuevas agent capabilities, data products, infrastructure upgrades, deprecations, governance milestones — con suficiente lead time para que domain teams incorporen cambios en sus planning cycles.</w:t>
            </w:r>
          </w:p>
          <w:p>
            <w:pPr>
              <w:pStyle w:val="ListParagraph"/>
              <w:numPr>
                <w:ilvl w:val="0"/>
                <w:numId w:val="2"/>
              </w:numPr>
              <w:spacing w:after="30" w:before="30"/>
            </w:pPr>
            <w:r>
              <w:rPr>
                <w:rFonts w:ascii="Arial" w:cs="Arial" w:eastAsia="Arial" w:hAnsi="Arial"/>
                <w:color w:val="1F1F1F"/>
                <w:sz w:val="20"/>
                <w:szCs w:val="20"/>
              </w:rPr>
              <w:t xml:space="preserve">Platform SLAs publicados: availability targets por service tier, latency SLOs por task type (e.g., sub-500ms NEXUS real-time, sub-5s AgentsFlow workflow init), support response times. Commitments, no aspiraciones.</w:t>
            </w:r>
          </w:p>
          <w:p>
            <w:pPr>
              <w:pStyle w:val="ListParagraph"/>
              <w:numPr>
                <w:ilvl w:val="0"/>
                <w:numId w:val="2"/>
              </w:numPr>
              <w:spacing w:after="30" w:before="30"/>
            </w:pPr>
            <w:r>
              <w:rPr>
                <w:rFonts w:ascii="Arial" w:cs="Arial" w:eastAsia="Arial" w:hAnsi="Arial"/>
                <w:color w:val="1F1F1F"/>
                <w:sz w:val="20"/>
                <w:szCs w:val="20"/>
              </w:rPr>
              <w:t xml:space="preserve">Platform User Council: sesiones quarterly con domain leads y stakeholders de negocio para feedback, validar prioridades, surface pain points antes de crisis.</w:t>
            </w:r>
          </w:p>
          <w:p>
            <w:pPr>
              <w:pStyle w:val="ListParagraph"/>
              <w:numPr>
                <w:ilvl w:val="0"/>
                <w:numId w:val="2"/>
              </w:numPr>
              <w:spacing w:after="30" w:before="30"/>
            </w:pPr>
            <w:r>
              <w:rPr>
                <w:rFonts w:ascii="Arial" w:cs="Arial" w:eastAsia="Arial" w:hAnsi="Arial"/>
                <w:color w:val="1F1F1F"/>
                <w:sz w:val="20"/>
                <w:szCs w:val="20"/>
              </w:rPr>
              <w:t xml:space="preserve">Cada item del roadmap ligado a outcome de negocio medible: "OntoGraph RAG → +40% proactive stockout detection". Visibility de strategic value justifica funding continuo.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Strategic Flywheel auto-funding. Items de roadmap mencionados (OntoGraph, on-device SLMs).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roadmap publicado. Sin SLAs formales. Sin User Council o feedback estructurado.</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#15</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IP Protection y Competitive Moat Strategy  </w:t>
            </w:r>
            <w:r>
              <w:rPr>
                <w:rFonts w:ascii="Arial" w:cs="Arial" w:eastAsia="Arial" w:hAnsi="Arial"/>
                <w:b w:val="false"/>
                <w:bCs w:val="false"/>
                <w:color w:val="595959"/>
                <w:sz w:val="20"/>
                <w:szCs w:val="20"/>
              </w:rPr>
              <w:t xml:space="preserve">[Operations]</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La estrategia híbrida patent / trade-secret es el instinto correcto. Necesita execution roadmap activo y engagement de IP counsel ahora. Cada conference talk, customer pitch o blog post que describe mecanismos Parrot en detalle es un clock corriendo en patent eligibility. La ventana puede ya estar estrechándose.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Engage IP counsel inmediatamente para prior art searches y patentability assessments en: AgentsFlow DAG-to-physical-dispatch (combinación específica de CV + DAG + physical dispatch), OpenAPI auto-adapter methodology, NEXUS hardware-agnostic bridge.</w:t>
            </w:r>
          </w:p>
          <w:p>
            <w:pPr>
              <w:pStyle w:val="ListParagraph"/>
              <w:numPr>
                <w:ilvl w:val="0"/>
                <w:numId w:val="2"/>
              </w:numPr>
              <w:spacing w:after="30" w:before="30"/>
            </w:pPr>
            <w:r>
              <w:rPr>
                <w:rFonts w:ascii="Arial" w:cs="Arial" w:eastAsia="Arial" w:hAnsi="Arial"/>
                <w:color w:val="1F1F1F"/>
                <w:sz w:val="20"/>
                <w:szCs w:val="20"/>
              </w:rPr>
              <w:t xml:space="preserve">IP disclosure review process: antes de cualquier capability discutida públicamente (talk, pitch, press, article), brief IP review determina si patent debe filearse primero.</w:t>
            </w:r>
          </w:p>
          <w:p>
            <w:pPr>
              <w:pStyle w:val="ListParagraph"/>
              <w:numPr>
                <w:ilvl w:val="0"/>
                <w:numId w:val="2"/>
              </w:numPr>
              <w:spacing w:after="30" w:before="30"/>
            </w:pPr>
            <w:r>
              <w:rPr>
                <w:rFonts w:ascii="Arial" w:cs="Arial" w:eastAsia="Arial" w:hAnsi="Arial"/>
                <w:color w:val="1F1F1F"/>
                <w:sz w:val="20"/>
                <w:szCs w:val="20"/>
              </w:rPr>
              <w:t xml:space="preserve">Trade secret register: documento confidencial interno listando implementations protegidas como trade secrets (RAG params, DAG node logic, prompt patterns, routing algorithms) con access controls y NDAs.</w:t>
            </w:r>
          </w:p>
          <w:p>
            <w:pPr>
              <w:pStyle w:val="ListParagraph"/>
              <w:numPr>
                <w:ilvl w:val="0"/>
                <w:numId w:val="2"/>
              </w:numPr>
              <w:spacing w:after="30" w:before="30"/>
            </w:pPr>
            <w:r>
              <w:rPr>
                <w:rFonts w:ascii="Arial" w:cs="Arial" w:eastAsia="Arial" w:hAnsi="Arial"/>
                <w:color w:val="1F1F1F"/>
                <w:sz w:val="20"/>
                <w:szCs w:val="20"/>
              </w:rPr>
              <w:t xml:space="preserve">Technical differentiation maps por competitor: precisamente documentar dónde la arquitectura Parrot supera a Salesforce Agentforce, Microsoft Copilot Studio, LangChain/AutoGen, UiPath. Alimenta ventas, narrativa investor, y IP litigation readiness simultáneamente.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Estrategia IP híbrida articulada. Physical-digital integration moat identificado.</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IP counsel engagement documentado. Sin disclosure review process. Sin trade secret register. Sin competitor differentiation maps.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8260"/>
      </w:tblGrid>
      <w:tr>
        <w:trPr>
          <w:tblHeader/>
        </w:trPr>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26"/>
                <w:szCs w:val="26"/>
              </w:rPr>
              <w:t xml:space="preserve">#16</w:t>
            </w:r>
          </w:p>
        </w:tc>
        <w:tc>
          <w:tcPr>
            <w:tcW w:type="dxa" w:w="826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pPr>
            <w:r>
              <w:rPr>
                <w:rFonts w:ascii="Arial" w:cs="Arial" w:eastAsia="Arial" w:hAnsi="Arial"/>
                <w:b/>
                <w:bCs/>
                <w:color w:val="1F4E79"/>
                <w:sz w:val="24"/>
                <w:szCs w:val="24"/>
              </w:rPr>
              <w:t xml:space="preserve">Continuous Learning Loop desde Outcomes  </w:t>
            </w:r>
            <w:r>
              <w:rPr>
                <w:rFonts w:ascii="Arial" w:cs="Arial" w:eastAsia="Arial" w:hAnsi="Arial"/>
                <w:b w:val="false"/>
                <w:bCs w:val="false"/>
                <w:color w:val="595959"/>
                <w:sz w:val="20"/>
                <w:szCs w:val="20"/>
              </w:rPr>
              <w:t xml:space="preserve">[Architecture]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Reto</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Parrot genera enorme production signal: VisionIQ shelf classifications, NEXUS conversion events, InSight coaching outcomes, restocking dispatch results. Esta data es invaluable para mejorar model quality — pero solo si existe un feedback loop sistemático de outcomes a training data. La mayoría de orgs deja este value en la mesa, tratando producción como consumo en lugar de generación de aprendizaje.</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1F1F1F"/>
                <w:sz w:val="20"/>
                <w:szCs w:val="20"/>
              </w:rPr>
              <w:t xml:space="preserve">Acciones</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pStyle w:val="ListParagraph"/>
              <w:numPr>
                <w:ilvl w:val="0"/>
                <w:numId w:val="2"/>
              </w:numPr>
              <w:spacing w:after="30" w:before="30"/>
            </w:pPr>
            <w:r>
              <w:rPr>
                <w:rFonts w:ascii="Arial" w:cs="Arial" w:eastAsia="Arial" w:hAnsi="Arial"/>
                <w:color w:val="1F1F1F"/>
                <w:sz w:val="20"/>
                <w:szCs w:val="20"/>
              </w:rPr>
              <w:t xml:space="preserve">Outcome linkage system: tag cada agent action con outcome label cuando el resultado se conoce — "restocking → shelf restocked en 2hr", "NEXUS recommendation → conversion", "alert → dismissed by field rep". Crea supervised dataset directo desde producción.</w:t>
            </w:r>
          </w:p>
          <w:p>
            <w:pPr>
              <w:pStyle w:val="ListParagraph"/>
              <w:numPr>
                <w:ilvl w:val="0"/>
                <w:numId w:val="2"/>
              </w:numPr>
              <w:spacing w:after="30" w:before="30"/>
            </w:pPr>
            <w:r>
              <w:rPr>
                <w:rFonts w:ascii="Arial" w:cs="Arial" w:eastAsia="Arial" w:hAnsi="Arial"/>
                <w:color w:val="1F1F1F"/>
                <w:sz w:val="20"/>
                <w:szCs w:val="20"/>
              </w:rPr>
              <w:t xml:space="preserve">Fine-tuning pipeline: usar outcome-labeled production data para fine-tunear smaller domain-specific models en T-ROC's highest-volume tasks — reduce costo de inference + mejora accuracy en patrones retail-específicos.</w:t>
            </w:r>
          </w:p>
          <w:p>
            <w:pPr>
              <w:pStyle w:val="ListParagraph"/>
              <w:numPr>
                <w:ilvl w:val="0"/>
                <w:numId w:val="2"/>
              </w:numPr>
              <w:spacing w:after="30" w:before="30"/>
            </w:pPr>
            <w:r>
              <w:rPr>
                <w:rFonts w:ascii="Arial" w:cs="Arial" w:eastAsia="Arial" w:hAnsi="Arial"/>
                <w:color w:val="1F1F1F"/>
                <w:sz w:val="20"/>
                <w:szCs w:val="20"/>
              </w:rPr>
              <w:t xml:space="preserve">Prompt performance dashboard: tracking de qué prompt versions generan mejores outcomes por task type sobre el tiempo. Surface declining performers automáticamente.</w:t>
            </w:r>
          </w:p>
          <w:p>
            <w:pPr>
              <w:pStyle w:val="ListParagraph"/>
              <w:numPr>
                <w:ilvl w:val="0"/>
                <w:numId w:val="2"/>
              </w:numPr>
              <w:spacing w:after="30" w:before="30"/>
            </w:pPr>
            <w:r>
              <w:rPr>
                <w:rFonts w:ascii="Arial" w:cs="Arial" w:eastAsia="Arial" w:hAnsi="Arial"/>
                <w:color w:val="1F1F1F"/>
                <w:sz w:val="20"/>
                <w:szCs w:val="20"/>
              </w:rPr>
              <w:t xml:space="preserve">Data flywheel report mensual para stakeholders: cómo production signal está mejorando model quality y reduciendo costo. Hace el learning loop visible y creíble — Parrot becomes more valuable the more it is used.</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548235"/>
                <w:sz w:val="20"/>
                <w:szCs w:val="20"/>
              </w:rPr>
              <w:t xml:space="preserve">Ya existe</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AgentsFlow execution tracing captura cada action. Production data en Retail360, NEXUS, InSight.</w:t>
            </w:r>
          </w:p>
        </w:tc>
      </w:tr>
      <w:tr>
        <w:tc>
          <w:tcPr>
            <w:tcW w:type="dxa" w:w="1100"/>
            <w:tcBorders>
              <w:top w:val="single" w:color="BFBFBF" w:sz="4"/>
              <w:left w:val="single" w:color="BFBFBF" w:sz="4"/>
              <w:bottom w:val="single" w:color="BFBFBF" w:sz="4"/>
              <w:right w:val="single" w:color="BFBFBF" w:sz="4"/>
            </w:tcBorders>
            <w:shd w:fill="F7F7F7" w:val="clear"/>
            <w:tcMar>
              <w:top w:type="dxa" w:w="100"/>
              <w:left w:type="dxa" w:w="140"/>
              <w:bottom w:type="dxa" w:w="100"/>
              <w:right w:type="dxa" w:w="140"/>
            </w:tcMar>
          </w:tcPr>
          <w:p>
            <w:pPr>
              <w:spacing w:after="0" w:before="0"/>
              <w:jc w:val="center"/>
            </w:pPr>
            <w:r>
              <w:rPr>
                <w:rFonts w:ascii="Arial" w:cs="Arial" w:eastAsia="Arial" w:hAnsi="Arial"/>
                <w:b/>
                <w:bCs/>
                <w:color w:val="C00000"/>
                <w:sz w:val="20"/>
                <w:szCs w:val="20"/>
              </w:rPr>
              <w:t xml:space="preserve">Brecha</w:t>
            </w:r>
          </w:p>
        </w:tc>
        <w:tc>
          <w:tcPr>
            <w:tcW w:type="dxa" w:w="82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20"/>
                <w:szCs w:val="20"/>
              </w:rPr>
              <w:t xml:space="preserve">Sin outcome linkage system. Sin fine-tuning pipeline desde production. Sin prompt performance tracking sobre el tiempo. Learning loop no cerrado.</w:t>
            </w:r>
          </w:p>
        </w:tc>
      </w:tr>
    </w:tbl>
    <w:p>
      <w:r>
        <w:br w:type="page"/>
      </w:r>
    </w:p>
    <w:p>
      <w:pPr>
        <w:pStyle w:val="Heading1"/>
        <w:spacing w:after="200" w:before="360"/>
      </w:pPr>
      <w:r>
        <w:rPr>
          <w:rFonts w:ascii="Arial" w:cs="Arial" w:eastAsia="Arial" w:hAnsi="Arial"/>
          <w:b/>
          <w:bCs/>
          <w:color w:val="1F4E79"/>
          <w:sz w:val="36"/>
          <w:szCs w:val="36"/>
        </w:rPr>
        <w:t xml:space="preserve">7. Orden de Criticidad para Brainstorms Futuros</w:t>
      </w:r>
    </w:p>
    <w:p>
      <w:pPr>
        <w:spacing w:after="60" w:before="60"/>
      </w:pPr>
      <w:r>
        <w:rPr>
          <w:rFonts w:ascii="Arial" w:cs="Arial" w:eastAsia="Arial" w:hAnsi="Arial"/>
          <w:color w:val="1F1F1F"/>
        </w:rPr>
        <w:t xml:space="preserve">Lista maestra ordenada de mayor a menor criticidad, lista para alimentar la cola de brainstorms. Cada item incluye un theme sugerido para la sesión y los outputs esperados. La regla de secuenciación: gobernanza antes de sofisticación técnica; observability antes de optimización; foundations antes de moats.</w:t>
      </w:r>
    </w:p>
    <w:p>
      <w:pPr>
        <w:spacing w:after="80" w:before="0"/>
      </w:pPr>
      <w:r>
        <w:t xml:space="preserve"/>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600"/>
        <w:gridCol w:w="1100"/>
        <w:gridCol w:w="3700"/>
        <w:gridCol w:w="4060"/>
      </w:tblGrid>
      <w:tr>
        <w:trPr>
          <w:tblHeader/>
        </w:trPr>
        <w:tc>
          <w:tcPr>
            <w:tcW w:type="dxa" w:w="6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w:t>
            </w:r>
          </w:p>
        </w:tc>
        <w:tc>
          <w:tcPr>
            <w:tcW w:type="dxa" w:w="11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Nivel</w:t>
            </w:r>
          </w:p>
        </w:tc>
        <w:tc>
          <w:tcPr>
            <w:tcW w:type="dxa" w:w="370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Recomendación</w:t>
            </w:r>
          </w:p>
        </w:tc>
        <w:tc>
          <w:tcPr>
            <w:tcW w:type="dxa" w:w="4060"/>
            <w:tcBorders>
              <w:top w:val="single" w:color="BFBFBF" w:sz="4"/>
              <w:left w:val="single" w:color="BFBFBF" w:sz="4"/>
              <w:bottom w:val="single" w:color="BFBFBF" w:sz="4"/>
              <w:right w:val="single" w:color="BFBFBF" w:sz="4"/>
            </w:tcBorders>
            <w:shd w:fill="1F4E79"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Theme sugerido para brainstorm + output esperado</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w:t>
            </w:r>
          </w:p>
        </w:tc>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 Agent Authority Framework Formal</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"Tres tiers de autoridad agente y permission manifests por dominio". Output: draft de policy spec, lista de tiers aplicables a cada AgentCrew existente, propuesta de guardrail agent pattern.</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2</w:t>
            </w:r>
          </w:p>
        </w:tc>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#2 Medallion Data Architecture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"Bronze/Silver/Gold sobre Kinesis y AI Gateway como control plane". Output: diagrama de capas, lista de validations por layer transition, propuesta de quality scoring para outputs agente-generados.</w:t>
            </w:r>
          </w:p>
        </w:tc>
      </w:tr>
      <w:tr>
        <w:tc>
          <w:tcPr>
            <w:tcW w:type="dxa" w:w="60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3</w:t>
            </w:r>
          </w:p>
        </w:tc>
        <w:tc>
          <w:tcPr>
            <w:tcW w:type="dxa" w:w="11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Critical</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#3 Pre-Deployment Agentic Testing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"Shadow mode + chaos testing para AgentsFlow". Output: spec de shadow mode harness, red-team playbook v0, definición de error rate thresholds para automatic rollback.</w:t>
            </w:r>
          </w:p>
        </w:tc>
      </w:tr>
      <w:tr>
        <w:tc>
          <w:tcPr>
            <w:tcW w:type="dxa" w:w="6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4</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#4 Acelerar OntoGraph RAG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"Retail ontology y query router GraphRAG vs. vector". Output: schema inicial de ontología (producto, location, brand, contract, planogram, field rep), criterios de routing, plan migración incremental por dominio.</w:t>
            </w:r>
          </w:p>
        </w:tc>
      </w:tr>
      <w:tr>
        <w:tc>
          <w:tcPr>
            <w:tcW w:type="dxa" w:w="6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5</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#5 Observability y Cost Tracking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"Telemetry estructurado por nodo + cost attribution dashboard". Output: schema del telemetry event, lista de dashboards mínimos viables, contrato de métricas por agente.</w:t>
            </w:r>
          </w:p>
        </w:tc>
      </w:tr>
      <w:tr>
        <w:tc>
          <w:tcPr>
            <w:tcW w:type="dxa" w:w="6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6</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#6 Semantic Versioning de Prompts</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"Prompt registry y canary release process". Output: spec del registry, formato de prompt manifest (semver, changelog, deps), proceso de canary y rollback.</w:t>
            </w:r>
          </w:p>
        </w:tc>
      </w:tr>
      <w:tr>
        <w:tc>
          <w:tcPr>
            <w:tcW w:type="dxa" w:w="600"/>
            <w:tcBorders>
              <w:top w:val="single" w:color="BFBFBF" w:sz="4"/>
              <w:left w:val="single" w:color="BFBFBF" w:sz="4"/>
              <w:bottom w:val="single" w:color="BFBFBF" w:sz="4"/>
              <w:right w:val="single" w:color="BFBFBF" w:sz="4"/>
            </w:tcBorders>
            <w:shd w:fill="FCE6D5"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7</w:t>
            </w:r>
          </w:p>
        </w:tc>
        <w:tc>
          <w:tcPr>
            <w:tcW w:type="dxa" w:w="1100"/>
            <w:tcBorders>
              <w:top w:val="single" w:color="BFBFBF" w:sz="4"/>
              <w:left w:val="single" w:color="BFBFBF" w:sz="4"/>
              <w:bottom w:val="single" w:color="BFBFBF" w:sz="4"/>
              <w:right w:val="single" w:color="BFBFBF" w:sz="4"/>
            </w:tcBorders>
            <w:shd w:fill="ED7D31"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High</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#8 Consumer Transparency Layer (NEXUS)</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"Disclosure model y zero-party data consent flow". Output: UX de disclosure tier, schema de consent persistence, threshold de confidence para escalation a humano.</w:t>
            </w:r>
          </w:p>
        </w:tc>
      </w:tr>
      <w:tr>
        <w:tc>
          <w:tcPr>
            <w:tcW w:type="dxa" w:w="6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8</w:t>
            </w:r>
          </w:p>
        </w:tc>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#9 Data Product Layer</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"Catálogo canónico de data products con SLAs". Output: lista de top 10 data products candidatos, owner por producto, schema de SLA dashboard, formato de consumption tracking.</w:t>
            </w:r>
          </w:p>
        </w:tc>
      </w:tr>
      <w:tr>
        <w:tc>
          <w:tcPr>
            <w:tcW w:type="dxa" w:w="6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9</w:t>
            </w:r>
          </w:p>
        </w:tc>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#10 Model Routing Optimizer</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"Task taxonomy + cost-performance leaderboard". Output: taxonomy v0 de task types, formato del leaderboard, criterios de model tryout, política de latency-aware routing.</w:t>
            </w:r>
          </w:p>
        </w:tc>
      </w:tr>
      <w:tr>
        <w:tc>
          <w:tcPr>
            <w:tcW w:type="dxa" w:w="600"/>
            <w:tcBorders>
              <w:top w:val="single" w:color="BFBFBF" w:sz="4"/>
              <w:left w:val="single" w:color="BFBFBF" w:sz="4"/>
              <w:bottom w:val="single" w:color="BFBFBF" w:sz="4"/>
              <w:right w:val="single" w:color="BFBFBF" w:sz="4"/>
            </w:tcBorders>
            <w:shd w:fill="FFF1CC"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10</w:t>
            </w:r>
          </w:p>
        </w:tc>
        <w:tc>
          <w:tcPr>
            <w:tcW w:type="dxa" w:w="1100"/>
            <w:tcBorders>
              <w:top w:val="single" w:color="BFBFBF" w:sz="4"/>
              <w:left w:val="single" w:color="BFBFBF" w:sz="4"/>
              <w:bottom w:val="single" w:color="BFBFBF" w:sz="4"/>
              <w:right w:val="single" w:color="BFBFBF" w:sz="4"/>
            </w:tcBorders>
            <w:shd w:fill="BF8F00"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Major</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#11 Federated Operating Model</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"Quién owns qué entre central y dominio". Output: matrix RACI de ownership, criterios del production readiness review, charter del cross-domain community of practice.</w:t>
            </w:r>
          </w:p>
        </w:tc>
      </w:tr>
      <w:tr>
        <w:tc>
          <w:tcPr>
            <w:tcW w:type="dxa" w:w="6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11</w:t>
            </w:r>
          </w:p>
        </w:tc>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Minor</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#7 No-Code Workflow Builder</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"Drag-and-drop sobre AgentsFlow para business users". Output: agent catalog inicial, UX de canvas, sandbox spec, criterios de aprobación ingeniería.</w:t>
            </w:r>
          </w:p>
        </w:tc>
      </w:tr>
      <w:tr>
        <w:tc>
          <w:tcPr>
            <w:tcW w:type="dxa" w:w="600"/>
            <w:tcBorders>
              <w:top w:val="single" w:color="BFBFBF" w:sz="4"/>
              <w:left w:val="single" w:color="BFBFBF" w:sz="4"/>
              <w:bottom w:val="single" w:color="BFBFBF" w:sz="4"/>
              <w:right w:val="single" w:color="BFBFBF" w:sz="4"/>
            </w:tcBorders>
            <w:shd w:fill="DEEBF6"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12</w:t>
            </w:r>
          </w:p>
        </w:tc>
        <w:tc>
          <w:tcPr>
            <w:tcW w:type="dxa" w:w="1100"/>
            <w:tcBorders>
              <w:top w:val="single" w:color="BFBFBF" w:sz="4"/>
              <w:left w:val="single" w:color="BFBFBF" w:sz="4"/>
              <w:bottom w:val="single" w:color="BFBFBF" w:sz="4"/>
              <w:right w:val="single" w:color="BFBFBF" w:sz="4"/>
            </w:tcBorders>
            <w:shd w:fill="2E75B6"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Minor</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#12 Agent Developer SDK + Local Env</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"Python SDK type-safe + Docker Compose stack". Output: surface API del SDK, arquitectura del local stack, spec del visual debugger, scaffold CLI v0.</w:t>
            </w:r>
          </w:p>
        </w:tc>
      </w:tr>
      <w:tr>
        <w:tc>
          <w:tcPr>
            <w:tcW w:type="dxa" w:w="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13</w:t>
            </w:r>
          </w:p>
        </w:tc>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#13 Adoption &amp; Onboarding</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"Playbooks por rol + A/B pilots de adopción". Output: playbook draft para field rep, diseño de pilot AI-asistido vs. control, schema de feedback loop.</w:t>
            </w:r>
          </w:p>
        </w:tc>
      </w:tr>
      <w:tr>
        <w:tc>
          <w:tcPr>
            <w:tcW w:type="dxa" w:w="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14</w:t>
            </w:r>
          </w:p>
        </w:tc>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#14 Platform Roadmap Governance</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"Roadmap quarterly + Platform User Council". Output: charter del Council, formato del roadmap, lista de SLAs platform-level, mapping outcome-de-negocio para cada item.</w:t>
            </w:r>
          </w:p>
        </w:tc>
      </w:tr>
      <w:tr>
        <w:tc>
          <w:tcPr>
            <w:tcW w:type="dxa" w:w="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15</w:t>
            </w:r>
          </w:p>
        </w:tc>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#15 IP Protection Strategy</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"IP disclosure review + trade secret register". Output: lista priorizada de candidatos a patent, proceso de disclosure review, formato del register, draft de differentiation maps por competidor.</w:t>
            </w:r>
          </w:p>
        </w:tc>
      </w:tr>
      <w:tr>
        <w:tc>
          <w:tcPr>
            <w:tcW w:type="dxa" w:w="600"/>
            <w:tcBorders>
              <w:top w:val="single" w:color="BFBFBF" w:sz="4"/>
              <w:left w:val="single" w:color="BFBFBF" w:sz="4"/>
              <w:bottom w:val="single" w:color="BFBFBF" w:sz="4"/>
              <w:right w:val="single" w:color="BFBFBF" w:sz="4"/>
            </w:tcBorders>
            <w:shd w:fill="E2EFDA" w:val="clear"/>
            <w:tcMar>
              <w:top w:type="dxa" w:w="100"/>
              <w:left w:type="dxa" w:w="140"/>
              <w:bottom w:type="dxa" w:w="100"/>
              <w:right w:type="dxa" w:w="140"/>
            </w:tcMar>
          </w:tcPr>
          <w:p>
            <w:pPr>
              <w:spacing w:after="0" w:before="0"/>
              <w:jc w:val="center"/>
            </w:pPr>
            <w:r>
              <w:rPr>
                <w:rFonts w:ascii="Arial" w:cs="Arial" w:eastAsia="Arial" w:hAnsi="Arial"/>
                <w:b/>
                <w:bCs/>
                <w:color w:val="1F1F1F"/>
                <w:sz w:val="22"/>
                <w:szCs w:val="22"/>
              </w:rPr>
              <w:t xml:space="preserve">16</w:t>
            </w:r>
          </w:p>
        </w:tc>
        <w:tc>
          <w:tcPr>
            <w:tcW w:type="dxa" w:w="1100"/>
            <w:tcBorders>
              <w:top w:val="single" w:color="BFBFBF" w:sz="4"/>
              <w:left w:val="single" w:color="BFBFBF" w:sz="4"/>
              <w:bottom w:val="single" w:color="BFBFBF" w:sz="4"/>
              <w:right w:val="single" w:color="BFBFBF" w:sz="4"/>
            </w:tcBorders>
            <w:shd w:fill="548235" w:val="clear"/>
            <w:tcMar>
              <w:top w:type="dxa" w:w="100"/>
              <w:left w:type="dxa" w:w="140"/>
              <w:bottom w:type="dxa" w:w="100"/>
              <w:right w:type="dxa" w:w="140"/>
            </w:tcMar>
          </w:tcPr>
          <w:p>
            <w:pPr>
              <w:spacing w:after="0" w:before="0"/>
              <w:jc w:val="center"/>
            </w:pPr>
            <w:r>
              <w:rPr>
                <w:rFonts w:ascii="Arial" w:cs="Arial" w:eastAsia="Arial" w:hAnsi="Arial"/>
                <w:b/>
                <w:bCs/>
                <w:color w:val="FFFFFF"/>
                <w:sz w:val="18"/>
                <w:szCs w:val="18"/>
              </w:rPr>
              <w:t xml:space="preserve">Improvement</w:t>
            </w:r>
          </w:p>
        </w:tc>
        <w:tc>
          <w:tcPr>
            <w:tcW w:type="dxa" w:w="370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b/>
                <w:bCs/>
                <w:color w:val="1F1F1F"/>
                <w:sz w:val="20"/>
                <w:szCs w:val="20"/>
              </w:rPr>
              <w:t xml:space="preserve">#16 Continuous Learning Loop</w:t>
            </w:r>
          </w:p>
        </w:tc>
        <w:tc>
          <w:tcPr>
            <w:tcW w:type="dxa" w:w="4060"/>
            <w:tcBorders>
              <w:top w:val="single" w:color="BFBFBF" w:sz="4"/>
              <w:left w:val="single" w:color="BFBFBF" w:sz="4"/>
              <w:bottom w:val="single" w:color="BFBFBF" w:sz="4"/>
              <w:right w:val="single" w:color="BFBFBF" w:sz="4"/>
            </w:tcBorders>
            <w:tcMar>
              <w:top w:type="dxa" w:w="100"/>
              <w:left w:type="dxa" w:w="140"/>
              <w:bottom w:type="dxa" w:w="100"/>
              <w:right w:type="dxa" w:w="140"/>
            </w:tcMar>
          </w:tcPr>
          <w:p>
            <w:pPr>
              <w:spacing w:after="0" w:before="0"/>
            </w:pPr>
            <w:r>
              <w:rPr>
                <w:rFonts w:ascii="Arial" w:cs="Arial" w:eastAsia="Arial" w:hAnsi="Arial"/>
                <w:color w:val="1F1F1F"/>
                <w:sz w:val="18"/>
                <w:szCs w:val="18"/>
              </w:rPr>
              <w:t xml:space="preserve">"Outcome linkage y fine-tuning pipeline desde producción". Output: schema de outcome labels, arquitectura del fine-tuning pipeline, formato del data flywheel report.</w:t>
            </w:r>
          </w:p>
        </w:tc>
      </w:tr>
    </w:tbl>
    <w:p>
      <w:r>
        <w:br w:type="page"/>
      </w:r>
    </w:p>
    <w:p>
      <w:pPr>
        <w:pStyle w:val="Heading1"/>
        <w:spacing w:after="200" w:before="360"/>
      </w:pPr>
      <w:r>
        <w:rPr>
          <w:rFonts w:ascii="Arial" w:cs="Arial" w:eastAsia="Arial" w:hAnsi="Arial"/>
          <w:b/>
          <w:bCs/>
          <w:color w:val="1F4E79"/>
          <w:sz w:val="36"/>
          <w:szCs w:val="36"/>
        </w:rPr>
        <w:t xml:space="preserve">8. Cierre: Las Tres Brechas Compounding y la Estrategia para Cerrarlas</w:t>
      </w:r>
    </w:p>
    <w:p>
      <w:pPr>
        <w:spacing w:after="60" w:before="60"/>
      </w:pPr>
      <w:r>
        <w:rPr>
          <w:rFonts w:ascii="Arial" w:cs="Arial" w:eastAsia="Arial" w:hAnsi="Arial"/>
          <w:color w:val="1F1F1F"/>
        </w:rPr>
        <w:t xml:space="preserve">El análisis McKinsey confirma que T-ROC ha hecho la parte más difícil correctamente: identificó los economic leverage points correctos, construyó hacia ellos con depth técnica genuina, y validó la arquitectura con AWS y reconocimiento de industria. El score 4/5 de AI/ML reflexa una plataforma que ya opera a escala empresarial.</w:t>
      </w:r>
    </w:p>
    <w:p>
      <w:pPr>
        <w:spacing w:after="60" w:before="60"/>
      </w:pPr>
      <w:r>
        <w:rPr>
          <w:rFonts w:ascii="Arial" w:cs="Arial" w:eastAsia="Arial" w:hAnsi="Arial"/>
          <w:color w:val="1F1F1F"/>
        </w:rPr>
        <w:t xml:space="preserve">El camino desde aquí no es primariamente un desafío de ingeniería — es un desafío organizacional y de gobernanza. Las 16 recomendaciones de este documento están secuenciadas para cerrar tres brechas que se componen entre sí:</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Authority Framework</w:t>
            </w:r>
          </w:p>
        </w:tc>
        <w:tc>
          <w:tcPr>
            <w:tcW w:type="dxa" w:w="69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Hace que la acción autónoma sea gobernable a escala. Sin esto, cada incremento en autonomía agente incrementa exposición legal y operacional proporcionalmente.</w:t>
            </w:r>
          </w:p>
        </w:tc>
      </w:tr>
      <w:tr>
        <w:tc>
          <w:tcPr>
            <w:tcW w:type="dxa" w:w="24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Data Quality Architecture</w:t>
            </w:r>
          </w:p>
        </w:tc>
        <w:tc>
          <w:tcPr>
            <w:tcW w:type="dxa" w:w="69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Hace que las decisiones agentic sean confiables a escala. RAG resuelve hallucination; medallion resuelve la calidad upstream que alimenta el RAG.</w:t>
            </w:r>
          </w:p>
        </w:tc>
      </w:tr>
      <w:tr>
        <w:tc>
          <w:tcPr>
            <w:tcW w:type="dxa" w:w="2400"/>
            <w:tcBorders>
              <w:top w:val="single" w:color="BFBFBF" w:sz="4"/>
              <w:left w:val="single" w:color="BFBFBF" w:sz="4"/>
              <w:bottom w:val="single" w:color="BFBFBF" w:sz="4"/>
              <w:right w:val="single" w:color="BFBFBF" w:sz="4"/>
            </w:tcBorders>
            <w:shd w:fill="C00000" w:val="clear"/>
            <w:tcMar>
              <w:top w:type="dxa" w:w="100"/>
              <w:left w:type="dxa" w:w="140"/>
              <w:bottom w:type="dxa" w:w="100"/>
              <w:right w:type="dxa" w:w="140"/>
            </w:tcMar>
          </w:tcPr>
          <w:p>
            <w:pPr>
              <w:spacing w:after="0" w:before="0"/>
              <w:jc w:val="center"/>
            </w:pPr>
            <w:r>
              <w:rPr>
                <w:rFonts w:ascii="Arial" w:cs="Arial" w:eastAsia="Arial" w:hAnsi="Arial"/>
                <w:b/>
                <w:bCs/>
                <w:color w:val="FFFFFF"/>
                <w:sz w:val="22"/>
                <w:szCs w:val="22"/>
              </w:rPr>
              <w:t xml:space="preserve">Adoption Infrastructure</w:t>
            </w:r>
          </w:p>
        </w:tc>
        <w:tc>
          <w:tcPr>
            <w:tcW w:type="dxa" w:w="6960"/>
            <w:tcBorders>
              <w:top w:val="single" w:color="BFBFBF" w:sz="4"/>
              <w:left w:val="single" w:color="BFBFBF" w:sz="4"/>
              <w:bottom w:val="single" w:color="BFBFBF" w:sz="4"/>
              <w:right w:val="single" w:color="BFBFBF" w:sz="4"/>
            </w:tcBorders>
            <w:shd w:fill="FCE4E4" w:val="clear"/>
            <w:tcMar>
              <w:top w:type="dxa" w:w="100"/>
              <w:left w:type="dxa" w:w="140"/>
              <w:bottom w:type="dxa" w:w="100"/>
              <w:right w:type="dxa" w:w="140"/>
            </w:tcMar>
          </w:tcPr>
          <w:p>
            <w:pPr>
              <w:spacing w:after="0" w:before="0"/>
            </w:pPr>
            <w:r>
              <w:rPr>
                <w:rFonts w:ascii="Arial" w:cs="Arial" w:eastAsia="Arial" w:hAnsi="Arial"/>
                <w:color w:val="1F1F1F"/>
                <w:sz w:val="20"/>
                <w:szCs w:val="20"/>
              </w:rPr>
              <w:t xml:space="preserve">Hace que las proyecciones de ROI sean reales, no teóricas. La arquitectura habilita; solo el programa de adopción entrega los $12M y el 25–35% en commission uplift.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1F4E79" w:sz="24"/>
              <w:bottom w:val="single" w:color="BFBFBF" w:sz="4"/>
              <w:right w:val="single" w:color="BFBFBF" w:sz="4"/>
            </w:tcBorders>
            <w:shd w:fill="F7F7F7" w:val="clear"/>
            <w:tcMar>
              <w:top w:type="dxa" w:w="160"/>
              <w:left w:type="dxa" w:w="200"/>
              <w:bottom w:type="dxa" w:w="160"/>
              <w:right w:type="dxa" w:w="200"/>
            </w:tcMar>
          </w:tcPr>
          <w:p>
            <w:pPr>
              <w:spacing w:after="80" w:before="0"/>
            </w:pPr>
            <w:r>
              <w:rPr>
                <w:rFonts w:ascii="Arial" w:cs="Arial" w:eastAsia="Arial" w:hAnsi="Arial"/>
                <w:b/>
                <w:bCs/>
                <w:color w:val="1F4E79"/>
                <w:sz w:val="22"/>
                <w:szCs w:val="22"/>
              </w:rPr>
              <w:t xml:space="preserve">El imperativo estratégico (cita McKinsey)</w:t>
            </w:r>
          </w:p>
          <w:p>
            <w:pPr>
              <w:spacing w:after="40" w:before="40"/>
            </w:pPr>
            <w:r>
              <w:rPr>
                <w:rFonts w:ascii="Arial" w:cs="Arial" w:eastAsia="Arial" w:hAnsi="Arial"/>
                <w:color w:val="1F1F1F"/>
                <w:sz w:val="22"/>
                <w:szCs w:val="22"/>
              </w:rPr>
              <w:t xml:space="preserve">"Building the complete set of rewired capabilities is the cornerstone of every successful tech and AI transformation. Companies can accelerate their way through developing them, but they cannot skip over the foundational work."</w:t>
            </w:r>
          </w:p>
          <w:p>
            <w:pPr>
              <w:spacing w:after="40" w:before="40"/>
            </w:pPr>
            <w:r>
              <w:rPr>
                <w:rFonts w:ascii="Arial" w:cs="Arial" w:eastAsia="Arial" w:hAnsi="Arial"/>
                <w:color w:val="1F1F1F"/>
                <w:sz w:val="22"/>
                <w:szCs w:val="22"/>
              </w:rPr>
              <w:t xml:space="preserve">El foundational work para la próxima fase de AI-Parrot es gobernanza, observability y adopción — no más sofisticación arquitectónica. La arquitectura está lista. El operating model empresarial es la próxima frontera.</w:t>
            </w:r>
          </w:p>
        </w:tc>
      </w:tr>
    </w:tbl>
    <w:p>
      <w:pPr>
        <w:spacing w:after="160" w:before="0"/>
      </w:pPr>
      <w:r>
        <w:t xml:space="preserve"/>
      </w:r>
    </w:p>
    <w:p>
      <w:pPr>
        <w:pStyle w:val="Heading2"/>
        <w:spacing w:after="160" w:before="280"/>
      </w:pPr>
      <w:r>
        <w:rPr>
          <w:rFonts w:ascii="Arial" w:cs="Arial" w:eastAsia="Arial" w:hAnsi="Arial"/>
          <w:b/>
          <w:bCs/>
          <w:color w:val="1F4E79"/>
          <w:sz w:val="28"/>
          <w:szCs w:val="28"/>
        </w:rPr>
        <w:t xml:space="preserve">Próximos pasos sugeridos</w:t>
      </w:r>
    </w:p>
    <w:p>
      <w:pPr>
        <w:pStyle w:val="ListParagraph"/>
        <w:numPr>
          <w:ilvl w:val="0"/>
          <w:numId w:val="2"/>
        </w:numPr>
        <w:spacing w:after="40" w:before="40"/>
      </w:pPr>
      <w:r>
        <w:rPr>
          <w:rFonts w:ascii="Arial" w:cs="Arial" w:eastAsia="Arial" w:hAnsi="Arial"/>
          <w:b/>
          <w:bCs/>
          <w:color w:val="1F1F1F"/>
          <w:sz w:val="22"/>
          <w:szCs w:val="22"/>
        </w:rPr>
        <w:t xml:space="preserve">Brainstorm 1 (semana 1): </w:t>
      </w:r>
      <w:r>
        <w:rPr>
          <w:rFonts w:ascii="Arial" w:cs="Arial" w:eastAsia="Arial" w:hAnsi="Arial"/>
          <w:b w:val="false"/>
          <w:bCs w:val="false"/>
          <w:color w:val="1F1F1F"/>
          <w:sz w:val="22"/>
          <w:szCs w:val="22"/>
        </w:rPr>
        <w:t xml:space="preserve">atacar #1 + #2 + #3 en paralelo. Estos tres son interdependientes — el authority framework necesita medallion data para enforcement de quality gates, el testing framework necesita ambos como precondición.</w:t>
      </w:r>
    </w:p>
    <w:p>
      <w:pPr>
        <w:pStyle w:val="ListParagraph"/>
        <w:numPr>
          <w:ilvl w:val="0"/>
          <w:numId w:val="2"/>
        </w:numPr>
        <w:spacing w:after="40" w:before="40"/>
      </w:pPr>
      <w:r>
        <w:rPr>
          <w:rFonts w:ascii="Arial" w:cs="Arial" w:eastAsia="Arial" w:hAnsi="Arial"/>
          <w:b/>
          <w:bCs/>
          <w:color w:val="1F1F1F"/>
          <w:sz w:val="22"/>
          <w:szCs w:val="22"/>
        </w:rPr>
        <w:t xml:space="preserve">Brainstorm 2 (semana 2): </w:t>
      </w:r>
      <w:r>
        <w:rPr>
          <w:rFonts w:ascii="Arial" w:cs="Arial" w:eastAsia="Arial" w:hAnsi="Arial"/>
          <w:b w:val="false"/>
          <w:bCs w:val="false"/>
          <w:color w:val="1F1F1F"/>
          <w:sz w:val="22"/>
          <w:szCs w:val="22"/>
        </w:rPr>
        <w:t xml:space="preserve">alinear #4 (acelerar OntoGraph RAG) y #5 (observability). El graph RAG indexa decision trails como edges, lo que ataca directamente la brecha de gobernanza por una vía técnica.</w:t>
      </w:r>
    </w:p>
    <w:p>
      <w:pPr>
        <w:pStyle w:val="ListParagraph"/>
        <w:numPr>
          <w:ilvl w:val="0"/>
          <w:numId w:val="2"/>
        </w:numPr>
        <w:spacing w:after="40" w:before="40"/>
      </w:pPr>
      <w:r>
        <w:rPr>
          <w:rFonts w:ascii="Arial" w:cs="Arial" w:eastAsia="Arial" w:hAnsi="Arial"/>
          <w:b/>
          <w:bCs/>
          <w:color w:val="1F1F1F"/>
          <w:sz w:val="22"/>
          <w:szCs w:val="22"/>
        </w:rPr>
        <w:t xml:space="preserve">Brainstorm 3 (semana 3): </w:t>
      </w:r>
      <w:r>
        <w:rPr>
          <w:rFonts w:ascii="Arial" w:cs="Arial" w:eastAsia="Arial" w:hAnsi="Arial"/>
          <w:b w:val="false"/>
          <w:bCs w:val="false"/>
          <w:color w:val="1F1F1F"/>
          <w:sz w:val="22"/>
          <w:szCs w:val="22"/>
        </w:rPr>
        <w:t xml:space="preserve">#6 (semantic versioning) y #8 (consumer transparency). Ambos son governance/safety-adjacent y comparten el patrón de "contracts and policies as code".</w:t>
      </w:r>
    </w:p>
    <w:p>
      <w:pPr>
        <w:pStyle w:val="ListParagraph"/>
        <w:numPr>
          <w:ilvl w:val="0"/>
          <w:numId w:val="2"/>
        </w:numPr>
        <w:spacing w:after="40" w:before="40"/>
      </w:pPr>
      <w:r>
        <w:rPr>
          <w:rFonts w:ascii="Arial" w:cs="Arial" w:eastAsia="Arial" w:hAnsi="Arial"/>
          <w:b/>
          <w:bCs/>
          <w:color w:val="1F1F1F"/>
          <w:sz w:val="22"/>
          <w:szCs w:val="22"/>
        </w:rPr>
        <w:t xml:space="preserve">Cadencia subsiguiente: </w:t>
      </w:r>
      <w:r>
        <w:rPr>
          <w:rFonts w:ascii="Arial" w:cs="Arial" w:eastAsia="Arial" w:hAnsi="Arial"/>
          <w:b w:val="false"/>
          <w:bCs w:val="false"/>
          <w:color w:val="1F1F1F"/>
          <w:sz w:val="22"/>
          <w:szCs w:val="22"/>
        </w:rPr>
        <w:t xml:space="preserve">un brainstorm cada 2 semanas, recorriendo Major (#9–#11), Minor (#7, #12) e Improvement (#13–#16) en orden. Total ~16 brainstorms cubren el roadmap 18-month.</w:t>
      </w:r>
    </w:p>
    <w:p>
      <w:pPr>
        <w:spacing w:after="240" w:before="0"/>
      </w:pPr>
      <w:r>
        <w:t xml:space="preserve"/>
      </w:r>
    </w:p>
    <w:p>
      <w:pPr>
        <w:spacing w:after="60" w:before="60"/>
        <w:jc w:val="center"/>
      </w:pPr>
      <w:r>
        <w:rPr>
          <w:rFonts w:ascii="Arial" w:cs="Arial" w:eastAsia="Arial" w:hAnsi="Arial"/>
          <w:color w:val="595959"/>
        </w:rPr>
        <w:t xml:space="preserve">— Fin del documento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026"/>
      </w:tabs>
    </w:pPr>
    <w:r>
      <w:rPr>
        <w:rFonts w:ascii="Arial" w:cs="Arial" w:eastAsia="Arial" w:hAnsi="Arial"/>
        <w:color w:val="595959"/>
        <w:sz w:val="18"/>
        <w:szCs w:val="18"/>
      </w:rPr>
      <w:t xml:space="preserve">T-ROC Global · Confidencial · Abril 2026</w:t>
    </w:r>
    <w:r>
      <w:rPr>
        <w:rFonts w:ascii="Arial" w:cs="Arial" w:eastAsia="Arial" w:hAnsi="Arial"/>
        <w:color w:val="595959"/>
        <w:sz w:val="18"/>
        <w:szCs w:val="18"/>
      </w:rPr>
      <w:t xml:space="preserve">	Página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595959"/>
        <w:sz w:val="18"/>
        <w:szCs w:val="18"/>
      </w:rPr>
      <w:t xml:space="preserve">AI-Parrot · Análisis de Brechas y Roadmap Priorizado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lvl>
    <w:lvl w:ilvl="1" w15:tentative="1">
      <w:start w:val="1"/>
      <w:numFmt w:val="bullet"/>
      <w:lvlText w:val="◦"/>
      <w:lvlJc w:val="left"/>
      <w:pPr>
        <w:ind w:left="88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1F1F"/>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F4E79"/>
      <w:sz w:val="28"/>
      <w:szCs w:val="28"/>
    </w:rPr>
  </w:style>
  <w:style w:type="paragraph" w:styleId="Heading3">
    <w:name w:val="Heading 3"/>
    <w:basedOn w:val="Normal"/>
    <w:next w:val="Normal"/>
    <w:qFormat/>
    <w:pPr>
      <w:spacing w:after="120" w:before="220"/>
      <w:outlineLvl w:val="2"/>
    </w:pPr>
    <w:rPr>
      <w:rFonts w:ascii="Arial" w:cs="Arial" w:eastAsia="Arial" w:hAnsi="Arial"/>
      <w:b/>
      <w:bCs/>
      <w:color w:val="1F4E7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AI-Parrot — Análisis de Brechas y Roadmap Priorizado</dc:title>
  <dc:creator>AI-Parrot Team</dc:creator>
  <dc:description>Síntesis ejecutiva del McKinsey Alignment Analysis con semáforo de criticidad y pipeline de brainstorms.</dc:description>
  <cp:lastModifiedBy>Un-named</cp:lastModifiedBy>
  <cp:revision>1</cp:revision>
  <dcterms:created xsi:type="dcterms:W3CDTF">2026-04-26T21:41:07.405Z</dcterms:created>
  <dcterms:modified xsi:type="dcterms:W3CDTF">2026-04-26T21:41:07.406Z</dcterms:modified>
</cp:coreProperties>
</file>

<file path=docProps/custom.xml><?xml version="1.0" encoding="utf-8"?>
<Properties xmlns="http://schemas.openxmlformats.org/officeDocument/2006/custom-properties" xmlns:vt="http://schemas.openxmlformats.org/officeDocument/2006/docPropsVTypes"/>
</file>