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AFROLANDX</w:t>
      </w:r>
    </w:p>
    <w:p>
      <w:pPr>
        <w:spacing w:after="300"/>
      </w:pPr>
      <w:r>
        <w:rPr>
          <w:b/>
          <w:bCs/>
          <w:sz w:val="24"/>
          <w:szCs w:val="24"/>
        </w:rPr>
        <w:t xml:space="preserve">Vendor Onboarding, Shipping &amp; Marketing Plan</w:t>
      </w:r>
    </w:p>
    <w:p>
      <w:pPr>
        <w:pStyle w:val="Heading1"/>
        <w:pBdr>
          <w:bottom w:val="single" w:color="000000" w:sz="6" w:space="4"/>
        </w:pBdr>
        <w:spacing w:after="140" w:before="340"/>
      </w:pPr>
      <w:r>
        <w:rPr>
          <w:b/>
          <w:bCs/>
          <w:color w:val="000000"/>
          <w:sz w:val="27"/>
          <w:szCs w:val="27"/>
        </w:rPr>
        <w:t xml:space="preserve">1. International-Capable Shipping Partners</w:t>
      </w:r>
    </w:p>
    <w:p>
      <w:pPr>
        <w:spacing w:after="120"/>
      </w:pPr>
      <w:r>
        <w:rPr>
          <w:sz w:val="21"/>
          <w:szCs w:val="21"/>
        </w:rPr>
        <w:t xml:space="preserve">These operate the Nigeria → foreign buyer leg specifically (not just interstate delivery within Nigeria):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980"/>
      </w:tblGrid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Provider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Routes</w:t>
            </w:r>
          </w:p>
        </w:tc>
        <w:tc>
          <w:tcPr>
            <w:tcW w:type="dxa" w:w="39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CargoNaija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Nigeria to UK, USA, Canada (air &amp; sea)</w:t>
            </w:r>
          </w:p>
        </w:tc>
        <w:tc>
          <w:tcPr>
            <w:tcW w:type="dxa" w:w="39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Explicitly ships Ankara/textiles and dried food as export categories; positions itself as cheap cargo rates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Terminal Africa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Nigeria to USA and other destinations</w:t>
            </w:r>
          </w:p>
        </w:tc>
        <w:tc>
          <w:tcPr>
            <w:tcW w:type="dxa" w:w="39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Already used by other Nigerian ecommerce brands (Arami, Afrihealth); markets itself as cheapest Nigeria-USA option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Haulam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Nigeria to USA/UK</w:t>
            </w:r>
          </w:p>
        </w:tc>
        <w:tc>
          <w:tcPr>
            <w:tcW w:type="dxa" w:w="39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Has a "Value Export" tier built specifically for cost-effective shipping of local products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African Import Export Solutions (formerly Shiptonaija)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Nigeria to worldwide, warehouses in Lagos/Abuja/Ibadan</w:t>
            </w:r>
          </w:p>
        </w:tc>
        <w:tc>
          <w:tcPr>
            <w:tcW w:type="dxa" w:w="39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Claims DHL/FedEx/UPS-level delivery at a fraction of the cost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Hezelinks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Nigeria to UK (air freight)</w:t>
            </w:r>
          </w:p>
        </w:tc>
        <w:tc>
          <w:tcPr>
            <w:tcW w:type="dxa" w:w="39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Handles artwork and food items, but requires proper import licensing for food</w:t>
            </w:r>
          </w:p>
        </w:tc>
      </w:tr>
    </w:tbl>
    <w:p>
      <w:pPr>
        <w:spacing w:after="120"/>
      </w:pPr>
      <w:r>
        <w:rPr>
          <w:i/>
          <w:iCs/>
          <w:sz w:val="21"/>
          <w:szCs w:val="21"/>
        </w:rPr>
        <w:t xml:space="preserve">Actual per-kg rates were not published on any of these sites and would need a direct quote request before committing to one — flagging this rather than estimating a number that isn't confirmed.</w:t>
      </w:r>
    </w:p>
    <w:p>
      <w:pPr>
        <w:pStyle w:val="Heading1"/>
        <w:pBdr>
          <w:bottom w:val="single" w:color="000000" w:sz="6" w:space="4"/>
        </w:pBdr>
        <w:spacing w:after="140" w:before="340"/>
      </w:pPr>
      <w:r>
        <w:rPr>
          <w:b/>
          <w:bCs/>
          <w:color w:val="000000"/>
          <w:sz w:val="27"/>
          <w:szCs w:val="27"/>
        </w:rPr>
        <w:t xml:space="preserve">2. Vendor Acquisition — Route 1: Field Representatives</w:t>
      </w:r>
    </w:p>
    <w:p>
      <w:pPr>
        <w:pStyle w:val="Heading2"/>
        <w:spacing w:after="100" w:before="220"/>
      </w:pPr>
      <w:r>
        <w:rPr>
          <w:b/>
          <w:bCs/>
          <w:color w:val="000000"/>
          <w:sz w:val="22"/>
          <w:szCs w:val="22"/>
        </w:rPr>
        <w:t xml:space="preserve">Locations &amp; Payment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3 representatives, 1 each in Lagos, Aba, and Onitsha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Payment: ₦115,000 per rep (revised up from the initial ₦100,000 figure)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Target: up to 30 real, authentic, active vendors per rep — quality over volume (revised down from 100)</w:t>
      </w:r>
    </w:p>
    <w:p>
      <w:pPr>
        <w:pStyle w:val="Heading2"/>
        <w:spacing w:after="100" w:before="220"/>
      </w:pPr>
      <w:r>
        <w:rPr>
          <w:b/>
          <w:bCs/>
          <w:color w:val="000000"/>
          <w:sz w:val="22"/>
          <w:szCs w:val="22"/>
        </w:rPr>
        <w:t xml:space="preserve">Phase 1 — Vendor Sourcing &amp; Data Collection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Rep visits vendors in their location and confirms the products are good enough for the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Collects: vendor name, business name, phone number, email, and confirmation the business is registered with CAC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Submits collected data to Afrolandx to create the vendor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Afrolandx admin reviews and approves the account, then emails the vendor a one-time 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Vendor logs in and changes the password on first login</w:t>
      </w:r>
    </w:p>
    <w:p>
      <w:pPr>
        <w:pStyle w:val="Heading2"/>
        <w:spacing w:after="100" w:before="220"/>
      </w:pPr>
      <w:r>
        <w:rPr>
          <w:b/>
          <w:bCs/>
          <w:color w:val="000000"/>
          <w:sz w:val="22"/>
          <w:szCs w:val="22"/>
        </w:rPr>
        <w:t xml:space="preserve">Phase 2 — Product Listing (two possible approaches, to be decided)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Option A: Reps manually upload each vendor's products directly, then notify the vendor the listing is live so they can log in and edit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Option B: Reps only take/collect product photos on-site. An AI feature auto-generates the product title and description from the photos; the vendor only has to input a price. This requires Afrolandx to actually have this AI feature built — not confirmed yet, needs to be checked with the dev team before this route is planned around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Phase 2 was mentioned as a further ₦100,000 payment for handling roughly 100 vendors — this number should be reconciled with the revised 30-vendor cap from Phase 1 before finalizing, since the two figures don't currently match.</w:t>
      </w:r>
    </w:p>
    <w:p>
      <w:pPr>
        <w:pStyle w:val="Heading1"/>
        <w:pBdr>
          <w:bottom w:val="single" w:color="000000" w:sz="6" w:space="4"/>
        </w:pBdr>
        <w:spacing w:after="140" w:before="340"/>
      </w:pPr>
      <w:r>
        <w:rPr>
          <w:b/>
          <w:bCs/>
          <w:color w:val="000000"/>
          <w:sz w:val="27"/>
          <w:szCs w:val="27"/>
        </w:rPr>
        <w:t xml:space="preserve">3. Vendor Acquisition — Route 2: Targeted Adverts</w:t>
      </w:r>
    </w:p>
    <w:p>
      <w:pPr>
        <w:spacing w:after="120"/>
      </w:pPr>
      <w:r>
        <w:rPr>
          <w:sz w:val="21"/>
          <w:szCs w:val="21"/>
        </w:rPr>
        <w:t xml:space="preserve">Second onboarding channel, running in parallel to the field reps. Facebook is the recommended primary platform given its reach in Nigeria; TikTok is a secondary option but depends on having strong visual content first. Proposed approach: commission micro-influencer videos, then run those videos as paid creative across Facebook and TikTok.</w:t>
      </w:r>
    </w:p>
    <w:p>
      <w:pPr>
        <w:pStyle w:val="Heading2"/>
        <w:spacing w:after="100" w:before="220"/>
      </w:pPr>
      <w:r>
        <w:rPr>
          <w:b/>
          <w:bCs/>
          <w:color w:val="000000"/>
          <w:sz w:val="22"/>
          <w:szCs w:val="22"/>
        </w:rPr>
        <w:t xml:space="preserve">Micro-Influencer Budget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Proposed range: ₦1,000,000–1,500,000 to get 2 micro-influencers to create content about Afrolandx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This is an estimate, not a confirmed cost — since Afrolandx is a new platform, there's no guarantee influencers at this budget level will take the offer, and the actual rate needed is unconfirmed until outreach happens</w:t>
      </w:r>
    </w:p>
    <w:p>
      <w:pPr>
        <w:pStyle w:val="Heading2"/>
        <w:spacing w:after="100" w:before="220"/>
      </w:pPr>
      <w:r>
        <w:rPr>
          <w:b/>
          <w:bCs/>
          <w:color w:val="000000"/>
          <w:sz w:val="22"/>
          <w:szCs w:val="22"/>
        </w:rPr>
        <w:t xml:space="preserve">Ad Costing — Per Location, Duration &amp; Reach</w:t>
      </w:r>
    </w:p>
    <w:p>
      <w:pPr>
        <w:spacing w:after="120"/>
      </w:pPr>
      <w:r>
        <w:rPr>
          <w:sz w:val="21"/>
          <w:szCs w:val="21"/>
        </w:rPr>
        <w:t xml:space="preserve">Based on published Nigeria Meta ads benchmarks (CPC ₦30–500, CPM ₦450–5,000, cost per lead ₦500–5,000+). These are directional estimates only — Afrolandx has no historical ad account data yet, so actual lead-to-onboarded-vendor conversion is unconfirmed until a real campaign runs.</w:t>
      </w:r>
    </w:p>
    <w:tbl>
      <w:tblPr>
        <w:tblW w:type="dxa" w:w="10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1300"/>
        <w:gridCol w:w="2100"/>
        <w:gridCol w:w="1500"/>
        <w:gridCol w:w="2080"/>
      </w:tblGrid>
      <w:tr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Tier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Budget per Location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Duration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Estimated Reach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Estimated Leads</w:t>
            </w:r>
          </w:p>
        </w:tc>
        <w:tc>
          <w:tcPr>
            <w:tcW w:type="dxa" w:w="20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Est. Vendors Onboarded</w:t>
            </w:r>
          </w:p>
        </w:tc>
      </w:tr>
      <w:tr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₦150,000–200,000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 days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~100,000–130,000 impressions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60–120 leads</w:t>
            </w:r>
          </w:p>
        </w:tc>
        <w:tc>
          <w:tcPr>
            <w:tcW w:type="dxa" w:w="20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~10–25 (assumes ~20% lead-to-vendor conversion)</w:t>
            </w:r>
          </w:p>
        </w:tc>
      </w:tr>
      <w:tr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₦300,000–400,000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14–21 days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~200,000–260,000 impressions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120–250 leads</w:t>
            </w:r>
          </w:p>
        </w:tc>
        <w:tc>
          <w:tcPr>
            <w:tcW w:type="dxa" w:w="20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~25–50</w:t>
            </w:r>
          </w:p>
        </w:tc>
      </w:tr>
      <w:tr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Aggressive (to approach 100)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₦500,000–700,000+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21–30 days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~330,000–460,000 impressions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200–450 leads</w:t>
            </w:r>
          </w:p>
        </w:tc>
        <w:tc>
          <w:tcPr>
            <w:tcW w:type="dxa" w:w="20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~40–90, still not guaranteed at 100</w:t>
            </w:r>
          </w:p>
        </w:tc>
      </w:tr>
    </w:tbl>
    <w:p>
      <w:pPr>
        <w:spacing w:after="120"/>
      </w:pPr>
      <w:r>
        <w:rPr>
          <w:i/>
          <w:iCs/>
          <w:sz w:val="21"/>
          <w:szCs w:val="21"/>
        </w:rPr>
        <w:t xml:space="preserve">Meta requires roughly 7-14 days minimum per campaign to exit its learning phase and optimize properly — shorter campaigns will underperform these estimates. 7.5% VAT applies on top of all ad spend.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Reaching 100 onboarded vendors per location through ads alone, at a realistic budget, is not guaranteed — worth planning for ads to supplement the field reps rather than replace them.</w:t>
      </w:r>
    </w:p>
    <w:p>
      <w:pPr>
        <w:pStyle w:val="Heading2"/>
        <w:spacing w:after="100" w:before="220"/>
      </w:pPr>
      <w:r>
        <w:rPr>
          <w:b/>
          <w:bCs/>
          <w:color w:val="000000"/>
          <w:sz w:val="22"/>
          <w:szCs w:val="22"/>
        </w:rPr>
        <w:t xml:space="preserve">Platform Requirement for This Route</w:t>
      </w:r>
    </w:p>
    <w:p>
      <w:pPr>
        <w:spacing w:after="120"/>
      </w:pPr>
      <w:r>
        <w:rPr>
          <w:sz w:val="21"/>
          <w:szCs w:val="21"/>
        </w:rPr>
        <w:t xml:space="preserve">Vendors coming in through ads have no rep walking them through onboarding, so the self-serve flow has to be smooth end-to-end: name, business name, business registration (CAC) number with verification, phone number, and any other required fields, completed without assistance.</w:t>
      </w:r>
    </w:p>
    <w:p>
      <w:pPr>
        <w:pStyle w:val="Heading1"/>
        <w:pBdr>
          <w:bottom w:val="single" w:color="000000" w:sz="6" w:space="4"/>
        </w:pBdr>
        <w:spacing w:after="140" w:before="340"/>
      </w:pPr>
      <w:r>
        <w:rPr>
          <w:b/>
          <w:bCs/>
          <w:color w:val="000000"/>
          <w:sz w:val="27"/>
          <w:szCs w:val="27"/>
        </w:rPr>
        <w:t xml:space="preserve">4. Shipping Flow &amp; Shipping Verification Agents</w:t>
      </w:r>
    </w:p>
    <w:p>
      <w:pPr>
        <w:spacing w:after="120"/>
      </w:pPr>
      <w:r>
        <w:rPr>
          <w:sz w:val="21"/>
          <w:szCs w:val="21"/>
        </w:rPr>
        <w:t xml:space="preserve">Flow: Vendor → Shipping Agent (verifies the product) → Logistics/freight company (e.g. CargoNaija) → Foreign buyer.</w:t>
      </w:r>
    </w:p>
    <w:p>
      <w:pPr>
        <w:pStyle w:val="Heading2"/>
        <w:spacing w:after="100" w:before="220"/>
      </w:pPr>
      <w:r>
        <w:rPr>
          <w:b/>
          <w:bCs/>
          <w:color w:val="000000"/>
          <w:sz w:val="22"/>
          <w:szCs w:val="22"/>
        </w:rPr>
        <w:t xml:space="preserve">Shipping Agents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3 agents, one in each of the same locations as the vendor reps: Lagos, Aba, Onitsha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Role is virtual-assistant style: receive the product from the vendor, verify it matches the listing, then hand off to the logistics company for onward shipping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Proposed pay: ~₦100,000 — the pay period (monthly vs. per task) wasn't specified and should be confirmed before finalizing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Logistics firms would be contacted to arrange pickup directly from these agents, rather than from individual vendors</w:t>
      </w:r>
    </w:p>
    <w:p>
      <w:pPr>
        <w:pStyle w:val="Heading2"/>
        <w:spacing w:after="100" w:before="220"/>
      </w:pPr>
      <w:r>
        <w:rPr>
          <w:b/>
          <w:bCs/>
          <w:color w:val="000000"/>
          <w:sz w:val="22"/>
          <w:szCs w:val="22"/>
        </w:rPr>
        <w:t xml:space="preserve">Platform Requirement for This Role</w:t>
      </w:r>
    </w:p>
    <w:p>
      <w:pPr>
        <w:spacing w:after="120"/>
      </w:pPr>
      <w:r>
        <w:rPr>
          <w:sz w:val="21"/>
          <w:szCs w:val="21"/>
        </w:rPr>
        <w:t xml:space="preserve">This role doesn't currently have a system to work from and needs one built, similar in concept to how Jumia verifies products before they ship. Needed: a dashboard where the agent can see incoming products, confirm receipt/arrival, mark an item as verified and ready to ship, and log all of this against the order.</w:t>
      </w:r>
    </w:p>
    <w:p>
      <w:pPr>
        <w:pStyle w:val="Heading1"/>
        <w:pBdr>
          <w:bottom w:val="single" w:color="000000" w:sz="6" w:space="4"/>
        </w:pBdr>
        <w:spacing w:after="140" w:before="340"/>
      </w:pPr>
      <w:r>
        <w:rPr>
          <w:b/>
          <w:bCs/>
          <w:color w:val="000000"/>
          <w:sz w:val="27"/>
          <w:szCs w:val="27"/>
        </w:rPr>
        <w:t xml:space="preserve">5. Policies Required Before Vendor Onboarding</w:t>
      </w:r>
    </w:p>
    <w:p>
      <w:pPr>
        <w:spacing w:after="120"/>
      </w:pPr>
      <w:r>
        <w:rPr>
          <w:sz w:val="21"/>
          <w:szCs w:val="21"/>
        </w:rPr>
        <w:t xml:space="preserve">Currently missing from the platform and needed before vendors are onboarded through any route: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Seller's/Vendor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Return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Shipping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Refund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Dispute Resolution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Privacy Policy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Vendors should be required to read and accept these as part of the onboarding flow, whether they're onboarded by a rep or self-serve through ads.</w:t>
      </w:r>
    </w:p>
    <w:p>
      <w:pPr>
        <w:pStyle w:val="Heading1"/>
        <w:pBdr>
          <w:bottom w:val="single" w:color="000000" w:sz="6" w:space="4"/>
        </w:pBdr>
        <w:spacing w:after="140" w:before="340"/>
      </w:pPr>
      <w:r>
        <w:rPr>
          <w:b/>
          <w:bCs/>
          <w:color w:val="000000"/>
          <w:sz w:val="27"/>
          <w:szCs w:val="27"/>
        </w:rPr>
        <w:t xml:space="preserve">6. Platform Build Requirements — Consolidated</w:t>
      </w:r>
    </w:p>
    <w:p>
      <w:pPr>
        <w:spacing w:after="120"/>
      </w:pPr>
      <w:r>
        <w:rPr>
          <w:sz w:val="21"/>
          <w:szCs w:val="21"/>
        </w:rPr>
        <w:t xml:space="preserve">Pulling together everything referenced above that needs to exist or be confirmed before going to market. Flagged as build/confirm items rather than assumed to already be in place: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Self-serve vendor onboarding form: name, business name, CAC number with verification, phone number,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Admin approval workflow with auto-generated OTP email and forced password change on first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AI feature to auto-generate product title/description from uploaded photos (for Phase 2, Option B) — needs confirmation from the dev team on whether this exists or needs to be built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Shipping agent dashboard: view incoming products, confirm receipt, mark ready-to-ship, verification log tied to each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Published policy pages (seller, return, shipping, refund, dispute, privacy) with a mandatory acceptance step in onboarding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Basic launch requirements should be built first, in phases, before scaling either the field rep or ad-based vendor acquisition routes.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2026-08-31T08:30:29.429Z</dcterms:created>
  <dcterms:modified xsi:type="dcterms:W3CDTF">2026-08-31T08:30:29.429Z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