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Salzgitter Mannesmann</w:t>
      </w:r>
    </w:p>
    <w:p>
      <w:pPr>
        <w:spacing w:after="0" w:before="0"/>
      </w:pPr>
      <w:r>
        <w:rPr>
          <w:rFonts w:ascii="Arial" w:hAnsi="Arial" w:eastAsia="Arial"/>
          <w:b w:val="0"/>
          <w:sz w:val="20"/>
        </w:rPr>
        <w:t>Personalabteilung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Zentrales Qualitäts- und Umweltmanagement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Zentrales Qualitäts- und Umweltmanagement“ bei Salzgitter Mannesmann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