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Salzgitter Mannesmann</w:t>
      </w:r>
    </w:p>
    <w:p>
      <w:pPr>
        <w:spacing w:after="0" w:before="0"/>
      </w:pPr>
      <w:r>
        <w:rPr>
          <w:rFonts w:ascii="Arial" w:hAnsi="Arial" w:eastAsia="Arial"/>
          <w:b w:val="0"/>
          <w:sz w:val="20"/>
        </w:rPr>
        <w:t>Personalabteilung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Qualitätsmanagement“ bei Salzgitter Mannesmann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