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Zentrum für Brennstoffzellen-Technik</w:t>
      </w:r>
    </w:p>
    <w:p>
      <w:pPr>
        <w:spacing w:after="0" w:before="0"/>
      </w:pPr>
      <w:r>
        <w:rPr>
          <w:rFonts w:ascii="Arial" w:hAnsi="Arial" w:eastAsia="Arial"/>
          <w:b w:val="0"/>
          <w:sz w:val="20"/>
        </w:rPr>
        <w:t>Personalabteilung</w:t>
      </w:r>
    </w:p>
    <w:p>
      <w:pPr>
        <w:spacing w:after="0" w:before="0"/>
      </w:pPr>
      <w:r>
        <w:rPr>
          <w:rFonts w:ascii="Arial" w:hAnsi="Arial" w:eastAsia="Arial"/>
          <w:b w:val="0"/>
          <w:sz w:val="20"/>
        </w:rPr>
        <w:t>Duisburg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für Materialcharakterisierung für PEMFC &amp; PEMWE Teilzeit Weiterlesen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für Materialcharakterisierung für PEMFC &amp; PEMWE Teilzeit Weiterlesen“ bei Zentrum für Brennstoffzellen-Technik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CAE-/FEM-Simulation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