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Kirchhoff</w:t>
      </w:r>
    </w:p>
    <w:p>
      <w:pPr>
        <w:spacing w:after="0" w:before="0"/>
      </w:pPr>
      <w:r>
        <w:rPr>
          <w:rFonts w:ascii="Arial" w:hAnsi="Arial" w:eastAsia="Arial"/>
          <w:b w:val="0"/>
          <w:sz w:val="20"/>
        </w:rPr>
        <w:t>Personalabteilung</w:t>
      </w:r>
    </w:p>
    <w:p>
      <w:pPr>
        <w:spacing w:after="0" w:before="0"/>
      </w:pPr>
      <w:r>
        <w:rPr>
          <w:rFonts w:ascii="Arial" w:hAnsi="Arial" w:eastAsia="Arial"/>
          <w:b w:val="0"/>
          <w:sz w:val="20"/>
        </w:rPr>
        <w:t>Iserlohn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Intelligence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Business Intelligence“ bei Kirchhoff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