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Mennekes</w:t>
      </w:r>
    </w:p>
    <w:p>
      <w:pPr>
        <w:spacing w:after="0" w:before="0"/>
      </w:pPr>
      <w:r>
        <w:rPr>
          <w:rFonts w:ascii="Arial" w:hAnsi="Arial" w:eastAsia="Arial"/>
          <w:b w:val="0"/>
          <w:sz w:val="20"/>
        </w:rPr>
        <w:t>Personalabteilung</w:t>
      </w:r>
    </w:p>
    <w:p>
      <w:pPr>
        <w:spacing w:after="0" w:before="0"/>
      </w:pPr>
      <w:r>
        <w:rPr>
          <w:rFonts w:ascii="Arial" w:hAnsi="Arial" w:eastAsia="Arial"/>
          <w:b w:val="0"/>
          <w:sz w:val="20"/>
        </w:rPr>
        <w:t>Kirchhundem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Informationssicherheit &amp; Datenschutz</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Informationssicherheit &amp; Datenschutz“ bei Mennekes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Im Studium habe ich IT- und Informationssicherheit belegt (Schutzziele, Kryptographie, Security Engineering, Datenschutz) und mich parallel mit Künstlicher Intelligenz beschäftigt.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