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ASP Metering</w:t>
      </w:r>
    </w:p>
    <w:p>
      <w:pPr>
        <w:spacing w:after="0" w:before="0"/>
      </w:pPr>
      <w:r>
        <w:rPr>
          <w:rFonts w:ascii="Arial" w:hAnsi="Arial" w:eastAsia="Arial"/>
          <w:b w:val="0"/>
          <w:sz w:val="20"/>
        </w:rPr>
        <w:t>Personalabteilung</w:t>
      </w:r>
    </w:p>
    <w:p>
      <w:pPr>
        <w:spacing w:after="0" w:before="0"/>
      </w:pPr>
      <w:r>
        <w:rPr>
          <w:rFonts w:ascii="Arial" w:hAnsi="Arial" w:eastAsia="Arial"/>
          <w:b w:val="0"/>
          <w:sz w:val="20"/>
        </w:rPr>
        <w:t>Kamen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Dienstleistung Metering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Dienstleistung Metering“ bei ASP Metering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