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Heidelberg Materials</w:t>
      </w:r>
    </w:p>
    <w:p>
      <w:pPr>
        <w:spacing w:after="0" w:before="0"/>
      </w:pPr>
      <w:r>
        <w:rPr>
          <w:rFonts w:ascii="Arial" w:hAnsi="Arial" w:eastAsia="Arial"/>
          <w:b w:val="0"/>
          <w:sz w:val="20"/>
        </w:rPr>
        <w:t>Personalabteilung</w:t>
      </w:r>
    </w:p>
    <w:p>
      <w:pPr>
        <w:spacing w:after="0" w:before="0"/>
      </w:pPr>
      <w:r>
        <w:rPr>
          <w:rFonts w:ascii="Arial" w:hAnsi="Arial" w:eastAsia="Arial"/>
          <w:b w:val="0"/>
          <w:sz w:val="20"/>
        </w:rPr>
        <w:t>Geseke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Praktikant oder Bachelor-/Masterand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„Praktikant oder Bachelor-/Masterand“ bei Heidelberg Materials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sowie Datenauswertung mit Python sind eine gute technische Grundlage für Energie- und Nachhaltigkeitsthemen; strukturierte Dokumentationen und Analysen gehören zu meinen Stärken.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