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AGCO</w:t>
      </w:r>
    </w:p>
    <w:p>
      <w:pPr>
        <w:spacing w:after="0" w:before="0"/>
      </w:pPr>
      <w:r>
        <w:rPr>
          <w:rFonts w:ascii="Arial" w:hAnsi="Arial" w:eastAsia="Arial"/>
          <w:b w:val="0"/>
          <w:sz w:val="20"/>
        </w:rPr>
        <w:t>Personalabteilung</w:t>
      </w:r>
    </w:p>
    <w:p>
      <w:pPr>
        <w:spacing w:after="0" w:before="0"/>
      </w:pPr>
      <w:r>
        <w:rPr>
          <w:rFonts w:ascii="Arial" w:hAnsi="Arial" w:eastAsia="Arial"/>
          <w:b w:val="0"/>
          <w:sz w:val="20"/>
        </w:rPr>
        <w:t>Salzkotten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im Bereich Smart Farming Solutions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im Bereich Smart Farming Solutions“ bei AGCO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MS Office, Cloud Computing, Messtechnik,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