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OTTO FUCHS</w:t>
      </w:r>
    </w:p>
    <w:p>
      <w:pPr>
        <w:spacing w:after="0" w:before="0"/>
      </w:pPr>
      <w:r>
        <w:rPr>
          <w:rFonts w:ascii="Arial" w:hAnsi="Arial" w:eastAsia="Arial"/>
          <w:b w:val="0"/>
          <w:sz w:val="20"/>
        </w:rPr>
        <w:t>Personalabteilung</w:t>
      </w:r>
    </w:p>
    <w:p>
      <w:pPr>
        <w:spacing w:after="0" w:before="0"/>
      </w:pPr>
      <w:r>
        <w:rPr>
          <w:rFonts w:ascii="Arial" w:hAnsi="Arial" w:eastAsia="Arial"/>
          <w:b w:val="0"/>
          <w:sz w:val="20"/>
        </w:rPr>
        <w:t>Meinerzhagen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 FEM-basierte Analyse der Wärmeübertragung in Schmiedegesenken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„Masterarbeit - FEM-basierte Analyse der Wärmeübertragung in Schmiedegesenken“ bei OTTO FUCHS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 Die in Ihrer Anzeige genannten Themen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