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Fraunhofer-Gesellschaft</w:t>
      </w:r>
    </w:p>
    <w:p>
      <w:pPr>
        <w:spacing w:after="0" w:before="0"/>
      </w:pPr>
      <w:r>
        <w:rPr>
          <w:rFonts w:ascii="Arial" w:hAnsi="Arial" w:eastAsia="Arial"/>
          <w:b w:val="0"/>
          <w:sz w:val="20"/>
        </w:rPr>
        <w:t>Personalabteilung</w:t>
      </w:r>
    </w:p>
    <w:p>
      <w:pPr>
        <w:spacing w:after="0" w:before="0"/>
      </w:pPr>
      <w:r>
        <w:rPr>
          <w:rFonts w:ascii="Arial" w:hAnsi="Arial" w:eastAsia="Arial"/>
          <w:b w:val="0"/>
          <w:sz w:val="20"/>
        </w:rPr>
        <w:t>Paderborn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Hilfskraft: Humanoide Robotik und Physical AI</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„Studentische Hilfskraft: Humanoide Robotik und Physical AI“ bei Fraunhofer-Gesellschaft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MS Office,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