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Diebold Nixdorf</w:t>
      </w:r>
    </w:p>
    <w:p>
      <w:pPr>
        <w:spacing w:after="0" w:before="0"/>
      </w:pPr>
      <w:r>
        <w:rPr>
          <w:rFonts w:ascii="Arial" w:hAnsi="Arial" w:eastAsia="Arial"/>
          <w:b w:val="0"/>
          <w:sz w:val="20"/>
        </w:rPr>
        <w:t>Personalabteilung</w:t>
      </w:r>
    </w:p>
    <w:p>
      <w:pPr>
        <w:spacing w:after="0" w:before="0"/>
      </w:pPr>
      <w:r>
        <w:rPr>
          <w:rFonts w:ascii="Arial" w:hAnsi="Arial" w:eastAsia="Arial"/>
          <w:b w:val="0"/>
          <w:sz w:val="20"/>
        </w:rPr>
        <w:t>Paderborn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AI Transformation &amp; Agentic AI</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AI Transformation &amp; Agentic AI“ bei Diebold Nixdorf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MS Office, Künstliche Intelligenz / Machine Learning,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