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Toyota Automated Logistics</w:t>
      </w:r>
    </w:p>
    <w:p>
      <w:pPr>
        <w:spacing w:after="0" w:before="0"/>
      </w:pPr>
      <w:r>
        <w:rPr>
          <w:rFonts w:ascii="Arial" w:hAnsi="Arial" w:eastAsia="Arial"/>
          <w:b w:val="0"/>
          <w:sz w:val="20"/>
        </w:rPr>
        <w:t>Personalabteilung</w:t>
      </w:r>
    </w:p>
    <w:p>
      <w:pPr>
        <w:spacing w:after="0" w:before="0"/>
      </w:pPr>
      <w:r>
        <w:rPr>
          <w:rFonts w:ascii="Arial" w:hAnsi="Arial" w:eastAsia="Arial"/>
          <w:b w:val="0"/>
          <w:sz w:val="20"/>
        </w:rPr>
        <w:t>Siegen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Mechanik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Mechanik“ bei Toyota Automated Logistics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In SolidWorks, Inventor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