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Entwicklung eines Warenträgers in der Batteriezellproduktion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Entwicklung eines Warenträgers in der Batteriezellproduktion“ bei Fraunhofer hat mein Interesse geweckt. Energie- und Nachhaltigkeitsthemen halte ich für technisch anspruchsvoll und gesellschaftlich wichtig.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