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Vorwerk Group - AKF Bank</w:t>
      </w:r>
    </w:p>
    <w:p>
      <w:pPr>
        <w:spacing w:after="0" w:before="0"/>
      </w:pPr>
      <w:r>
        <w:rPr>
          <w:rFonts w:ascii="Arial" w:hAnsi="Arial" w:eastAsia="Arial"/>
          <w:b w:val="0"/>
          <w:sz w:val="20"/>
        </w:rPr>
        <w:t>Personalabteilung</w:t>
      </w:r>
    </w:p>
    <w:p>
      <w:pPr>
        <w:spacing w:after="0" w:before="0"/>
      </w:pPr>
      <w:r>
        <w:rPr>
          <w:rFonts w:ascii="Arial" w:hAnsi="Arial" w:eastAsia="Arial"/>
          <w:b w:val="0"/>
          <w:sz w:val="20"/>
        </w:rPr>
        <w:t>Wuppertal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Informatik (m/w/d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Informatik (m/w/d“ bei Vorwerk Group - AKF Bank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