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TPG-The Packaging Group</w:t>
      </w:r>
    </w:p>
    <w:p>
      <w:pPr>
        <w:spacing w:after="0" w:before="0"/>
      </w:pPr>
      <w:r>
        <w:rPr>
          <w:rFonts w:ascii="Arial" w:hAnsi="Arial" w:eastAsia="Arial"/>
          <w:b w:val="0"/>
          <w:sz w:val="20"/>
        </w:rPr>
        <w:t>Personalabteilung</w:t>
      </w:r>
    </w:p>
    <w:p>
      <w:pPr>
        <w:spacing w:after="0" w:before="0"/>
      </w:pPr>
      <w:r>
        <w:rPr>
          <w:rFonts w:ascii="Arial" w:hAnsi="Arial" w:eastAsia="Arial"/>
          <w:b w:val="0"/>
          <w:sz w:val="20"/>
        </w:rPr>
        <w:t>Engelskirchen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im Bereich Qualitäts- und Prozessmanagement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im Bereich Qualitäts- und Prozessmanagement“ bei TPG-The Packaging Group hat mein Interesse geweckt. Qualität und saubere Dokumentation sind Themen, die ich im Studium vertieft habe und gerne praktisch anwende.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