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Oetker Group</w:t>
      </w:r>
    </w:p>
    <w:p>
      <w:pPr>
        <w:spacing w:after="0" w:before="0"/>
      </w:pPr>
      <w:r>
        <w:rPr>
          <w:rFonts w:ascii="Arial" w:hAnsi="Arial" w:eastAsia="Arial"/>
          <w:b w:val="0"/>
          <w:sz w:val="20"/>
        </w:rPr>
        <w:t>Personalabteilung</w:t>
      </w:r>
    </w:p>
    <w:p>
      <w:pPr>
        <w:spacing w:after="0" w:before="0"/>
      </w:pPr>
      <w:r>
        <w:rPr>
          <w:rFonts w:ascii="Arial" w:hAnsi="Arial" w:eastAsia="Arial"/>
          <w:b w:val="0"/>
          <w:sz w:val="20"/>
        </w:rPr>
        <w:t>Bielefeld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SAP Authorization, 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SAP Authorization, IT“ bei Oetker Group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MS Office sind mir aus meinem Studium vertraut. In SAP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