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Neuhäuser und Kollegen GmbH &amp; Co. KG Steuerberatungsgesellschaft</w:t>
      </w:r>
    </w:p>
    <w:p>
      <w:pPr>
        <w:spacing w:after="0" w:before="0"/>
      </w:pPr>
      <w:r>
        <w:rPr>
          <w:rFonts w:ascii="Arial" w:hAnsi="Arial" w:eastAsia="Arial"/>
          <w:b w:val="0"/>
          <w:sz w:val="20"/>
        </w:rPr>
        <w:t>Personalabteilung</w:t>
      </w:r>
    </w:p>
    <w:p>
      <w:pPr>
        <w:spacing w:after="0" w:before="0"/>
      </w:pPr>
      <w:r>
        <w:rPr>
          <w:rFonts w:ascii="Arial" w:hAnsi="Arial" w:eastAsia="Arial"/>
          <w:b w:val="0"/>
          <w:sz w:val="20"/>
        </w:rPr>
        <w:t>33829 Borgholzhausen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im Bereich IT Administration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im Bereich IT Administration“ bei Neuhäuser und Kollegen GmbH &amp; Co. KG Steuerberatungsgesellschaft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In EPLAN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