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ABB</w:t>
      </w:r>
    </w:p>
    <w:p>
      <w:pPr>
        <w:spacing w:after="0" w:before="0"/>
      </w:pPr>
      <w:r>
        <w:rPr>
          <w:rFonts w:ascii="Arial" w:hAnsi="Arial" w:eastAsia="Arial"/>
          <w:b w:val="0"/>
          <w:sz w:val="20"/>
        </w:rPr>
        <w:t>Personalabteilung</w:t>
      </w:r>
    </w:p>
    <w:p>
      <w:pPr>
        <w:spacing w:after="0" w:before="0"/>
      </w:pPr>
      <w:r>
        <w:rPr>
          <w:rFonts w:ascii="Arial" w:hAnsi="Arial" w:eastAsia="Arial"/>
          <w:b w:val="0"/>
          <w:sz w:val="20"/>
        </w:rPr>
        <w:t>Ratingen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Entwicklung von Vakuumschaltkammern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 der Entwicklung von Vakuumschaltkammern“ bei ABB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 In MATLAB, ANSYS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