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DGF</w:t>
      </w:r>
    </w:p>
    <w:p>
      <w:pPr>
        <w:spacing w:after="0" w:before="0"/>
      </w:pPr>
      <w:r>
        <w:rPr>
          <w:rFonts w:ascii="Arial" w:hAnsi="Arial" w:eastAsia="Arial"/>
          <w:b w:val="0"/>
          <w:sz w:val="20"/>
        </w:rPr>
        <w:t>Personalabteilung</w:t>
      </w:r>
    </w:p>
    <w:p>
      <w:pPr>
        <w:spacing w:after="0" w:before="0"/>
      </w:pPr>
      <w:r>
        <w:rPr>
          <w:rFonts w:ascii="Arial" w:hAnsi="Arial" w:eastAsia="Arial"/>
          <w:b w:val="0"/>
          <w:sz w:val="20"/>
        </w:rPr>
        <w:t>Cologne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Energieberatung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Energieberatung“ bei DGF gelesen.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