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Kautex Textron GmbH &amp; Co.KG</w:t>
      </w:r>
    </w:p>
    <w:p>
      <w:pPr>
        <w:spacing w:after="0" w:before="0"/>
      </w:pPr>
      <w:r>
        <w:rPr>
          <w:rFonts w:ascii="Arial" w:hAnsi="Arial" w:eastAsia="Arial"/>
          <w:b w:val="0"/>
          <w:sz w:val="20"/>
        </w:rPr>
        <w:t>Personalabteilung</w:t>
      </w:r>
    </w:p>
    <w:p>
      <w:pPr>
        <w:spacing w:after="0" w:before="0"/>
      </w:pPr>
      <w:r>
        <w:rPr>
          <w:rFonts w:ascii="Arial" w:hAnsi="Arial" w:eastAsia="Arial"/>
          <w:b w:val="0"/>
          <w:sz w:val="20"/>
        </w:rPr>
        <w:t>Bonn-Holzlar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Praktikum oder Werkstudent im Bereich Werkstoff-, Produkt- und Prozessentwicklung für Batteriegehäusesysteme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„Praktikum oder Werkstudent im Bereich Werkstoff-, Produkt- und Prozessentwicklung für Batteriegehäusesysteme“ bei Kautex Textron GmbH &amp; Co.KG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sowie Datenauswertung mit Python sind eine gute technische Grundlage für Energie- und Nachhaltigkeitsthemen; strukturierte Dokumentationen und Analysen gehören zu meinen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