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ZEISS</w:t>
      </w:r>
    </w:p>
    <w:p>
      <w:pPr>
        <w:spacing w:after="0" w:before="0"/>
      </w:pPr>
      <w:r>
        <w:rPr>
          <w:rFonts w:ascii="Arial" w:hAnsi="Arial" w:eastAsia="Arial"/>
          <w:b w:val="0"/>
          <w:sz w:val="20"/>
        </w:rPr>
        <w:t>Personalabteilung</w:t>
      </w:r>
    </w:p>
    <w:p>
      <w:pPr>
        <w:spacing w:after="0" w:before="0"/>
      </w:pPr>
      <w:r>
        <w:rPr>
          <w:rFonts w:ascii="Arial" w:hAnsi="Arial" w:eastAsia="Arial"/>
          <w:b w:val="0"/>
          <w:sz w:val="20"/>
        </w:rPr>
        <w:t>Wetzlar,Oberkochen (bei Ulm)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Process Excellence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Process Excellence“ bei ZEISS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EPLAN,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