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GFT Technologies</w:t>
      </w:r>
    </w:p>
    <w:p>
      <w:pPr>
        <w:spacing w:after="0" w:before="0"/>
      </w:pPr>
      <w:r>
        <w:rPr>
          <w:rFonts w:ascii="Arial" w:hAnsi="Arial" w:eastAsia="Arial"/>
          <w:b w:val="0"/>
          <w:sz w:val="20"/>
        </w:rPr>
        <w:t>Personalabteilung</w:t>
      </w:r>
    </w:p>
    <w:p>
      <w:pPr>
        <w:spacing w:after="0" w:before="0"/>
      </w:pPr>
      <w:r>
        <w:rPr>
          <w:rFonts w:ascii="Arial" w:hAnsi="Arial" w:eastAsia="Arial"/>
          <w:b w:val="0"/>
          <w:sz w:val="20"/>
        </w:rPr>
        <w:t>Eschborn, Stuttgart, Karlsruhe, St. Georgen, 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Learning &amp;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Learning &amp; Development“ bei GFT Technologies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