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ImageWare Components GmbH Informations- und Archivsysteme</w:t>
      </w:r>
    </w:p>
    <w:p>
      <w:pPr>
        <w:spacing w:after="0" w:before="0"/>
      </w:pPr>
      <w:r>
        <w:rPr>
          <w:rFonts w:ascii="Arial" w:hAnsi="Arial" w:eastAsia="Arial"/>
          <w:b w:val="0"/>
          <w:sz w:val="20"/>
        </w:rPr>
        <w:t>Personalabteilung</w:t>
      </w:r>
    </w:p>
    <w:p>
      <w:pPr>
        <w:spacing w:after="0" w:before="0"/>
      </w:pPr>
      <w:r>
        <w:rPr>
          <w:rFonts w:ascii="Arial" w:hAnsi="Arial" w:eastAsia="Arial"/>
          <w:b w:val="0"/>
          <w:sz w:val="20"/>
        </w:rPr>
        <w:t>Bonn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 Werkstudent im Bereich Bibliothekslösungen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 Werkstudent im Bereich Bibliothekslösungen“ bei ImageWare Components GmbH Informations- und Archivsysteme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