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Basalt-Actien-Gesellschaft</w:t>
      </w:r>
    </w:p>
    <w:p>
      <w:pPr>
        <w:spacing w:after="0" w:before="0"/>
      </w:pPr>
      <w:r>
        <w:rPr>
          <w:rFonts w:ascii="Arial" w:hAnsi="Arial" w:eastAsia="Arial"/>
          <w:b w:val="0"/>
          <w:sz w:val="20"/>
        </w:rPr>
        <w:t>Personalabteilung</w:t>
      </w:r>
    </w:p>
    <w:p>
      <w:pPr>
        <w:spacing w:after="0" w:before="0"/>
      </w:pPr>
      <w:r>
        <w:rPr>
          <w:rFonts w:ascii="Arial" w:hAnsi="Arial" w:eastAsia="Arial"/>
          <w:b w:val="0"/>
          <w:sz w:val="20"/>
        </w:rPr>
        <w:t>Linz am Rhein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IT-Support / Helpdesk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IT-Support / Helpdesk“ bei Basalt-Actien-Gesellschaft passt sehr gut zu meinem Studium.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