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Kinder im Zentrum-Gallus e.V.</w:t>
      </w:r>
    </w:p>
    <w:p>
      <w:pPr>
        <w:spacing w:after="0" w:before="0"/>
      </w:pPr>
      <w:r>
        <w:rPr>
          <w:rFonts w:ascii="Arial" w:hAnsi="Arial" w:eastAsia="Arial"/>
          <w:b w:val="0"/>
          <w:sz w:val="20"/>
        </w:rPr>
        <w:t>Personalabteilung</w:t>
      </w:r>
    </w:p>
    <w:p>
      <w:pPr>
        <w:spacing w:after="0" w:before="0"/>
      </w:pPr>
      <w:r>
        <w:rPr>
          <w:rFonts w:ascii="Arial" w:hAnsi="Arial" w:eastAsia="Arial"/>
          <w:b w:val="0"/>
          <w:sz w:val="20"/>
        </w:rPr>
        <w:t>Gallus 60 Frankfurt am Main-Innenstadt I</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Honorarkraft Nachhaltigkeit, Bildung &amp; Engagement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Honorarkraft Nachhaltigkeit, Bildung &amp; Engagement“ bei Kinder im Zentrum-Gallus e.V.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