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TransnetBW</w:t>
      </w:r>
    </w:p>
    <w:p>
      <w:pPr>
        <w:spacing w:after="0" w:before="0"/>
      </w:pPr>
      <w:r>
        <w:rPr>
          <w:rFonts w:ascii="Arial" w:hAnsi="Arial" w:eastAsia="Arial"/>
          <w:b w:val="0"/>
          <w:sz w:val="20"/>
        </w:rPr>
        <w:t>Personalabteilung</w:t>
      </w:r>
    </w:p>
    <w:p>
      <w:pPr>
        <w:spacing w:after="0" w:before="0"/>
      </w:pPr>
      <w:r>
        <w:rPr>
          <w:rFonts w:ascii="Arial" w:hAnsi="Arial" w:eastAsia="Arial"/>
          <w:b w:val="0"/>
          <w:sz w:val="20"/>
        </w:rPr>
        <w:t>Innenstadt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Genehmigungen für Erdkabelbau-Projekte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Genehmigungen für Erdkabelbau-Projekte“ bei TransnetBW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