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Fagus-GreCon</w:t>
      </w:r>
    </w:p>
    <w:p>
      <w:pPr>
        <w:spacing w:after="0" w:before="0"/>
      </w:pPr>
      <w:r>
        <w:rPr>
          <w:rFonts w:ascii="Arial" w:hAnsi="Arial" w:eastAsia="Arial"/>
          <w:b w:val="0"/>
          <w:sz w:val="20"/>
        </w:rPr>
        <w:t>Personalabteilung</w:t>
      </w:r>
    </w:p>
    <w:p>
      <w:pPr>
        <w:spacing w:after="0" w:before="0"/>
      </w:pPr>
      <w:r>
        <w:rPr>
          <w:rFonts w:ascii="Arial" w:hAnsi="Arial" w:eastAsia="Arial"/>
          <w:b w:val="0"/>
          <w:sz w:val="20"/>
        </w:rPr>
        <w:t>Alfeld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 und Masterarbeiten im Bereich Forschung &amp;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 und Masterarbeiten im Bereich Forschung &amp; Entwicklung“ bei Fagus-GreCon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Messtechnik, Elektrotechnik sind mir aus meinem Studium vertraut. In MATLAB, Simulink,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