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 Autobahn GmbH des Bundes</w:t>
      </w:r>
    </w:p>
    <w:p>
      <w:pPr>
        <w:spacing w:after="0" w:before="0"/>
      </w:pPr>
      <w:r>
        <w:rPr>
          <w:rFonts w:ascii="Arial" w:hAnsi="Arial" w:eastAsia="Arial"/>
          <w:b w:val="0"/>
          <w:sz w:val="20"/>
        </w:rPr>
        <w:t>Personalabteilung</w:t>
      </w:r>
    </w:p>
    <w:p>
      <w:pPr>
        <w:spacing w:after="0" w:before="0"/>
      </w:pPr>
      <w:r>
        <w:rPr>
          <w:rFonts w:ascii="Arial" w:hAnsi="Arial" w:eastAsia="Arial"/>
          <w:b w:val="0"/>
          <w:sz w:val="20"/>
        </w:rPr>
        <w:t>Hannover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oder Werkstudent Ingenieurbauwerke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oder Werkstudent Ingenieurbauwerke“ bei Die Autobahn GmbH des Bundes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