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Zentrum für Telematik e.V.</w:t>
      </w:r>
    </w:p>
    <w:p>
      <w:pPr>
        <w:spacing w:after="0" w:before="0"/>
      </w:pPr>
      <w:r>
        <w:rPr>
          <w:rFonts w:ascii="Arial" w:hAnsi="Arial" w:eastAsia="Arial"/>
          <w:b w:val="0"/>
          <w:sz w:val="20"/>
        </w:rPr>
        <w:t>Personalabteilung</w:t>
      </w:r>
    </w:p>
    <w:p>
      <w:pPr>
        <w:spacing w:after="0" w:before="0"/>
      </w:pPr>
      <w:r>
        <w:rPr>
          <w:rFonts w:ascii="Arial" w:hAnsi="Arial" w:eastAsia="Arial"/>
          <w:b w:val="0"/>
          <w:sz w:val="20"/>
        </w:rPr>
        <w:t>Würzburg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Raumfahrt - Studentische Hilfskraft AOCS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„Raumfahrt - Studentische Hilfskraft AOCS“ bei Zentrum für Telematik e.V. gelesen.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Elektrotechnik, Sensor- und Messtechnik, Mess-, Prüf- und Langzeittestsysteme sowie Embedded-Programmierung mit Einplatinencomputern (Raspberry Pi, Linux) gehören zu meinen fachlichen Grundlagen. Die in Ihrer Anzeige genannten Themen Python, CAE-/FEM-Simulation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