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1&amp;1</w:t>
      </w:r>
    </w:p>
    <w:p>
      <w:pPr>
        <w:spacing w:after="0" w:before="0"/>
      </w:pPr>
      <w:r>
        <w:rPr>
          <w:rFonts w:ascii="Arial" w:hAnsi="Arial" w:eastAsia="Arial"/>
          <w:b w:val="0"/>
          <w:sz w:val="20"/>
        </w:rPr>
        <w:t>Personalabteilung</w:t>
      </w:r>
    </w:p>
    <w:p>
      <w:pPr>
        <w:spacing w:after="0" w:before="0"/>
      </w:pPr>
      <w:r>
        <w:rPr>
          <w:rFonts w:ascii="Arial" w:hAnsi="Arial" w:eastAsia="Arial"/>
          <w:b w:val="0"/>
          <w:sz w:val="20"/>
        </w:rPr>
        <w:t>Karlsruhe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People &amp; Organisational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 People &amp; Organisational Development“ bei 1&amp;1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Cloud Computing,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