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ams OSRAM</w:t>
      </w:r>
    </w:p>
    <w:p>
      <w:pPr>
        <w:spacing w:after="0" w:before="0"/>
      </w:pPr>
      <w:r>
        <w:rPr>
          <w:rFonts w:ascii="Arial" w:hAnsi="Arial" w:eastAsia="Arial"/>
          <w:b w:val="0"/>
          <w:sz w:val="20"/>
        </w:rPr>
        <w:t>Personalabteilung</w:t>
      </w:r>
    </w:p>
    <w:p>
      <w:pPr>
        <w:spacing w:after="0" w:before="0"/>
      </w:pPr>
      <w:r>
        <w:rPr>
          <w:rFonts w:ascii="Arial" w:hAnsi="Arial" w:eastAsia="Arial"/>
          <w:b w:val="0"/>
          <w:sz w:val="20"/>
        </w:rPr>
        <w:t>Herbrechtingen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im Bereich Customer Quality Automotive Aftermarket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 im Bereich Customer Quality Automotive Aftermarket“ bei ams OSRAM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