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Novanta Europe GmbH</w:t>
      </w:r>
    </w:p>
    <w:p>
      <w:pPr>
        <w:spacing w:after="0" w:before="0"/>
      </w:pPr>
      <w:r>
        <w:rPr>
          <w:rFonts w:ascii="Arial" w:hAnsi="Arial" w:eastAsia="Arial"/>
          <w:b w:val="0"/>
          <w:sz w:val="20"/>
        </w:rPr>
        <w:t>Human Resources</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Working Student - Advanced Engineering</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“Working Student - Advanced Engineering” at Novanta Europe GmbH.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