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TÜV SÜD</w:t>
      </w:r>
    </w:p>
    <w:p>
      <w:pPr>
        <w:spacing w:after="0" w:before="0"/>
      </w:pPr>
      <w:r>
        <w:rPr>
          <w:rFonts w:ascii="Arial" w:hAnsi="Arial" w:eastAsia="Arial"/>
          <w:b w:val="0"/>
          <w:sz w:val="20"/>
        </w:rPr>
        <w:t>Personalabteilung</w:t>
      </w:r>
    </w:p>
    <w:p>
      <w:pPr>
        <w:spacing w:after="0" w:before="0"/>
      </w:pPr>
      <w:r>
        <w:rPr>
          <w:rFonts w:ascii="Arial" w:hAnsi="Arial" w:eastAsia="Arial"/>
          <w:b w:val="0"/>
          <w:sz w:val="20"/>
        </w:rPr>
        <w:t>Dachau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Student der Ingenieurwissenschaften für ein Praktikum im Kfz-Bereich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 der Ingenieurwissenschaften für ein Praktikum im Kfz-Bereich“ bei TÜV SÜD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