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Diehl Aviation</w:t>
      </w:r>
    </w:p>
    <w:p>
      <w:pPr>
        <w:spacing w:after="0" w:before="0"/>
      </w:pPr>
      <w:r>
        <w:rPr>
          <w:rFonts w:ascii="Arial" w:hAnsi="Arial" w:eastAsia="Arial"/>
          <w:b w:val="0"/>
          <w:sz w:val="20"/>
        </w:rPr>
        <w:t>Personalabteilung</w:t>
      </w:r>
    </w:p>
    <w:p>
      <w:pPr>
        <w:spacing w:after="0" w:before="0"/>
      </w:pPr>
      <w:r>
        <w:rPr>
          <w:rFonts w:ascii="Arial" w:hAnsi="Arial" w:eastAsia="Arial"/>
          <w:b w:val="0"/>
          <w:sz w:val="20"/>
        </w:rPr>
        <w:t>Laupheim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Industrial Engineering – Data Analytics &amp; KPI-Dashboard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Industrial Engineering – Data Analytics &amp; KPI-Dashboard“ bei Diehl Aviation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