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Stryker GmbH &amp; Co.KG</w:t>
      </w:r>
    </w:p>
    <w:p>
      <w:pPr>
        <w:spacing w:after="0" w:before="0"/>
      </w:pPr>
      <w:r>
        <w:rPr>
          <w:rFonts w:ascii="Arial" w:hAnsi="Arial" w:eastAsia="Arial"/>
          <w:b w:val="0"/>
          <w:sz w:val="20"/>
        </w:rPr>
        <w:t>Personalabteilung</w:t>
      </w:r>
    </w:p>
    <w:p>
      <w:pPr>
        <w:spacing w:after="0" w:before="0"/>
      </w:pPr>
      <w:r>
        <w:rPr>
          <w:rFonts w:ascii="Arial" w:hAnsi="Arial" w:eastAsia="Arial"/>
          <w:b w:val="0"/>
          <w:sz w:val="20"/>
        </w:rPr>
        <w:t>Freiburg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Bachelor- oder Masterarbeit Forschung &amp; Entwicklung – Innovative Osteosynthese - 6 Monate | Start Frühjahr 202</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Ausschreibung „Bachelor- oder Masterarbeit Forschung &amp; Entwicklung – Innovative Osteosynthese - 6 Monate | Start Frühjahr 202“ bei Stryker GmbH &amp; Co.KG hat mein Interesse geweckt. Das Umfeld der Medizintechnik und Regulatorik passt direkt zu meinem Bachelor in Biomedizinischer Technologie. Ich möchte meine Masterarbeit gerne in einem praxisnahen Umfeld schreiben.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Medizintechnik, Produktzulassung und Regulatorik (ISO 13485, Risikomanagement, technische Dokumentation, klinische Prüfung, Biostatistik) sowie Qualitätssicherung und Produktrecht gehören zu meinen Studieninhalten. Die Anforderungen aus Normen und Vorgaben strukturiert zu erfassen und nachvollziehbar zu dokumentieren, ist für mich vertrautes Arbeiten. Für Aufgaben rund um Konstruktion, Entwicklung und Berechnung bringe ich Kenntnisse in Produktentwicklung, CAE-/FEM-Simulation, Werkstoffkunde sowie Mess- und Prüfsystemen mit. In Creo, ANSYS arbeite ich mich gerne ein.</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