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Sachsenkraft GmbH Gesellschaft zur Nutzung regenerativer Energien</w:t>
      </w:r>
    </w:p>
    <w:p>
      <w:pPr>
        <w:spacing w:after="0" w:before="0"/>
      </w:pPr>
      <w:r>
        <w:rPr>
          <w:rFonts w:ascii="Arial" w:hAnsi="Arial" w:eastAsia="Arial"/>
          <w:b w:val="0"/>
          <w:sz w:val="20"/>
        </w:rPr>
        <w:t>Personalabteilung</w:t>
      </w:r>
    </w:p>
    <w:p>
      <w:pPr>
        <w:spacing w:after="0" w:before="0"/>
      </w:pPr>
      <w:r>
        <w:rPr>
          <w:rFonts w:ascii="Arial" w:hAnsi="Arial" w:eastAsia="Arial"/>
          <w:b w:val="0"/>
          <w:sz w:val="20"/>
        </w:rPr>
        <w:t>01069 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Wasserwerk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im Wasserwerk“ bei Sachsenkraft GmbH Gesellschaft zur Nutzung regenerativer Energien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