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CHECK24</w:t>
      </w:r>
    </w:p>
    <w:p>
      <w:pPr>
        <w:spacing w:after="0" w:before="0"/>
      </w:pPr>
      <w:r>
        <w:rPr>
          <w:rFonts w:ascii="Arial" w:hAnsi="Arial" w:eastAsia="Arial"/>
          <w:b w:val="0"/>
          <w:sz w:val="20"/>
        </w:rPr>
        <w:t>Personalabteilung</w:t>
      </w:r>
    </w:p>
    <w:p>
      <w:pPr>
        <w:spacing w:after="0" w:before="0"/>
      </w:pPr>
      <w:r>
        <w:rPr>
          <w:rFonts w:ascii="Arial" w:hAnsi="Arial" w:eastAsia="Arial"/>
          <w:b w:val="0"/>
          <w:sz w:val="20"/>
        </w:rPr>
        <w:t>Augsburg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Produktmanagement AI-Automation Mietwagen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Produktmanagement AI-Automation Mietwagen“ bei CHECK24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