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Lindner I Spindler Ingenieure GmbH &amp; Co.KG</w:t>
      </w:r>
    </w:p>
    <w:p>
      <w:pPr>
        <w:spacing w:after="0" w:before="0"/>
      </w:pPr>
      <w:r>
        <w:rPr>
          <w:rFonts w:ascii="Arial" w:hAnsi="Arial" w:eastAsia="Arial"/>
          <w:b w:val="0"/>
          <w:sz w:val="20"/>
        </w:rPr>
        <w:t>Personalabteilung</w:t>
      </w:r>
    </w:p>
    <w:p>
      <w:pPr>
        <w:spacing w:after="0" w:before="0"/>
      </w:pPr>
      <w:r>
        <w:rPr>
          <w:rFonts w:ascii="Arial" w:hAnsi="Arial" w:eastAsia="Arial"/>
          <w:b w:val="0"/>
          <w:sz w:val="20"/>
        </w:rPr>
        <w:t>Cottbus</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bei Lindner I Spindler Ingenieure GmbH &amp; Co.KG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