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Bundesinstitut für Bau-, Stadt- und Raumforschung (BBSR)</w:t>
      </w:r>
    </w:p>
    <w:p>
      <w:pPr>
        <w:spacing w:after="0" w:before="0"/>
      </w:pPr>
      <w:r>
        <w:rPr>
          <w:rFonts w:ascii="Arial" w:hAnsi="Arial" w:eastAsia="Arial"/>
          <w:b w:val="0"/>
          <w:sz w:val="20"/>
        </w:rPr>
        <w:t>Personalabteilung</w:t>
      </w:r>
    </w:p>
    <w:p>
      <w:pPr>
        <w:spacing w:after="0" w:before="0"/>
      </w:pPr>
      <w:r>
        <w:rPr>
          <w:rFonts w:ascii="Arial" w:hAnsi="Arial" w:eastAsia="Arial"/>
          <w:b w:val="0"/>
          <w:sz w:val="20"/>
        </w:rPr>
        <w:t>Cottbus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Hilfskräfte für das Referat KRE 5 „Forschungs­datenzentrum“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Hilfskräfte für das Referat KRE 5 „Forschungs­datenzentrum““ bei Bundesinstitut für Bau-, Stadt- und Raumforschung (BBSR)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