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International School of Management (ISM)</w:t>
      </w:r>
    </w:p>
    <w:p>
      <w:pPr>
        <w:spacing w:after="0" w:before="0"/>
      </w:pPr>
      <w:r>
        <w:rPr>
          <w:rFonts w:ascii="Arial" w:hAnsi="Arial" w:eastAsia="Arial"/>
          <w:b w:val="0"/>
          <w:sz w:val="20"/>
        </w:rPr>
        <w:t>Personalabteilung</w:t>
      </w:r>
    </w:p>
    <w:p>
      <w:pPr>
        <w:spacing w:after="0" w:before="0"/>
      </w:pPr>
      <w:r>
        <w:rPr>
          <w:rFonts w:ascii="Arial" w:hAnsi="Arial" w:eastAsia="Arial"/>
          <w:b w:val="0"/>
          <w:sz w:val="20"/>
        </w:rPr>
        <w:t>München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für den IT Service &amp; Support</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 für den IT Service &amp; Support“ bei International School of Management (ISM) hat mein Interesse geweckt. Technik, Projektarbeit und betriebswirtschaftliche Zusammenhänge verbinde ich bereits in meinem Master.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Mein Masterstudium verbindet Produktentwicklung mit Projektmanagement sowie Produkt- und Sales Management; technische Inhalte kann ich dank meines Bachelors in Biomedizinischer Technologie fachlich einordnen. Strukturiertes Arbeiten, sorgfältige Dokumentation und sichere Präsentation sind meine Stärken.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